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9AE67E" w14:textId="68ACC8B7" w:rsidR="00E54C50" w:rsidRDefault="00E54C50">
      <w:pPr>
        <w:rPr>
          <w:b/>
        </w:rPr>
      </w:pPr>
      <w:r>
        <w:rPr>
          <w:b/>
          <w:noProof/>
          <w:lang w:eastAsia="en-GB"/>
        </w:rPr>
        <w:drawing>
          <wp:anchor distT="0" distB="0" distL="114300" distR="114300" simplePos="0" relativeHeight="251658240" behindDoc="1" locked="0" layoutInCell="1" allowOverlap="1" wp14:anchorId="36F4C673" wp14:editId="01F25D0F">
            <wp:simplePos x="0" y="0"/>
            <wp:positionH relativeFrom="column">
              <wp:posOffset>0</wp:posOffset>
            </wp:positionH>
            <wp:positionV relativeFrom="paragraph">
              <wp:posOffset>-1270</wp:posOffset>
            </wp:positionV>
            <wp:extent cx="845820" cy="8458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F web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14:sizeRelH relativeFrom="page">
              <wp14:pctWidth>0</wp14:pctWidth>
            </wp14:sizeRelH>
            <wp14:sizeRelV relativeFrom="page">
              <wp14:pctHeight>0</wp14:pctHeight>
            </wp14:sizeRelV>
          </wp:anchor>
        </w:drawing>
      </w:r>
    </w:p>
    <w:p w14:paraId="3FDFD1A9" w14:textId="7F47D2BC" w:rsidR="00136B67" w:rsidRPr="00D1300F" w:rsidRDefault="00E54C50" w:rsidP="00E54C50">
      <w:pPr>
        <w:ind w:left="720" w:firstLine="720"/>
        <w:rPr>
          <w:b/>
        </w:rPr>
      </w:pPr>
      <w:r>
        <w:rPr>
          <w:b/>
        </w:rPr>
        <w:t xml:space="preserve">    </w:t>
      </w:r>
      <w:r w:rsidR="00D1300F" w:rsidRPr="00D1300F">
        <w:rPr>
          <w:b/>
        </w:rPr>
        <w:t xml:space="preserve">Central Ealing Neighbourhood </w:t>
      </w:r>
      <w:r>
        <w:rPr>
          <w:b/>
        </w:rPr>
        <w:t xml:space="preserve">Development </w:t>
      </w:r>
      <w:r w:rsidR="00D1300F" w:rsidRPr="00D1300F">
        <w:rPr>
          <w:b/>
        </w:rPr>
        <w:t>Plan (CEN</w:t>
      </w:r>
      <w:r>
        <w:rPr>
          <w:b/>
        </w:rPr>
        <w:t>D</w:t>
      </w:r>
      <w:r w:rsidR="00D1300F" w:rsidRPr="00D1300F">
        <w:rPr>
          <w:b/>
        </w:rPr>
        <w:t>P)</w:t>
      </w:r>
      <w:r w:rsidR="00973986" w:rsidRPr="00D1300F">
        <w:rPr>
          <w:b/>
        </w:rPr>
        <w:t xml:space="preserve"> Referendum Area</w:t>
      </w:r>
    </w:p>
    <w:p w14:paraId="51BF284B" w14:textId="49E8B3D5" w:rsidR="00B35ACC" w:rsidRPr="00E11BE7" w:rsidRDefault="00B35ACC" w:rsidP="00E54C50">
      <w:pPr>
        <w:ind w:left="720" w:firstLine="720"/>
        <w:jc w:val="center"/>
      </w:pPr>
      <w:r w:rsidRPr="00E11BE7">
        <w:t>Submission to the Examiner by the Central Ealing Neighbourhood Forum</w:t>
      </w:r>
      <w:r w:rsidR="00E54C50">
        <w:br/>
      </w:r>
      <w:r w:rsidRPr="00E11BE7">
        <w:t xml:space="preserve"> (the ‘qualifying body’)</w:t>
      </w:r>
    </w:p>
    <w:p w14:paraId="477F85FE" w14:textId="77777777" w:rsidR="004B1F43" w:rsidRDefault="004B1F43" w:rsidP="004B1F43">
      <w:r>
        <w:rPr>
          <w:b/>
        </w:rPr>
        <w:t>Introduction.</w:t>
      </w:r>
    </w:p>
    <w:p w14:paraId="551153D4" w14:textId="5D738C64" w:rsidR="004B1F43" w:rsidRDefault="00D6743F" w:rsidP="0053218F">
      <w:r>
        <w:t xml:space="preserve">This </w:t>
      </w:r>
      <w:r w:rsidR="00C96F4C">
        <w:t>paper</w:t>
      </w:r>
      <w:r>
        <w:t xml:space="preserve"> examines the options for the area for the </w:t>
      </w:r>
      <w:r w:rsidR="00E54C50">
        <w:t xml:space="preserve">CENDP </w:t>
      </w:r>
      <w:r>
        <w:t>referendum</w:t>
      </w:r>
      <w:r w:rsidR="004B1F43">
        <w:t>.</w:t>
      </w:r>
      <w:r w:rsidR="000426AE">
        <w:t xml:space="preserve"> </w:t>
      </w:r>
      <w:r w:rsidR="004B1F43">
        <w:t>As there are several</w:t>
      </w:r>
      <w:r w:rsidR="004B1F43" w:rsidRPr="004B1F43">
        <w:t xml:space="preserve"> </w:t>
      </w:r>
      <w:r w:rsidR="00E54C50">
        <w:t>choices</w:t>
      </w:r>
      <w:r w:rsidR="004B1F43" w:rsidRPr="004B1F43">
        <w:t xml:space="preserve"> other than keeping just to the central neighbourhood area, it seemed appropriate </w:t>
      </w:r>
      <w:r w:rsidR="00E97614">
        <w:t xml:space="preserve">to the Forum </w:t>
      </w:r>
      <w:r w:rsidR="004B1F43" w:rsidRPr="004B1F43">
        <w:t xml:space="preserve">that </w:t>
      </w:r>
      <w:r w:rsidR="00E97614">
        <w:t xml:space="preserve">it and the local planning authority (the </w:t>
      </w:r>
      <w:r w:rsidR="004B1F43" w:rsidRPr="004B1F43">
        <w:t>L</w:t>
      </w:r>
      <w:r w:rsidR="00E97614">
        <w:t xml:space="preserve">ondon </w:t>
      </w:r>
      <w:r w:rsidR="004B1F43" w:rsidRPr="004B1F43">
        <w:t>B</w:t>
      </w:r>
      <w:r w:rsidR="00E97614">
        <w:t xml:space="preserve">orough of </w:t>
      </w:r>
      <w:r w:rsidR="004B1F43" w:rsidRPr="004B1F43">
        <w:t>E</w:t>
      </w:r>
      <w:r w:rsidR="00E97614">
        <w:t>aling (LBE))</w:t>
      </w:r>
      <w:r w:rsidR="004B1F43" w:rsidRPr="004B1F43">
        <w:t xml:space="preserve"> should seek to agree a position to put to the Examiner. However LBE believes there is no case for any wider area and accordingly this report</w:t>
      </w:r>
      <w:r w:rsidR="004B1F43">
        <w:t xml:space="preserve"> </w:t>
      </w:r>
      <w:r w:rsidR="000426AE">
        <w:t>and recommend</w:t>
      </w:r>
      <w:r w:rsidR="004B1F43">
        <w:t xml:space="preserve">ation </w:t>
      </w:r>
      <w:r w:rsidR="00E97614">
        <w:t>are</w:t>
      </w:r>
      <w:r w:rsidR="000426AE">
        <w:t xml:space="preserve"> th</w:t>
      </w:r>
      <w:r w:rsidR="00E97614">
        <w:t>ose</w:t>
      </w:r>
      <w:r w:rsidR="000426AE">
        <w:t xml:space="preserve"> </w:t>
      </w:r>
      <w:r w:rsidR="004B1F43">
        <w:t>of the Forum alone. Its conclusion is that a</w:t>
      </w:r>
      <w:r w:rsidR="000426AE">
        <w:t>n area should be used</w:t>
      </w:r>
      <w:r w:rsidR="004B1F43">
        <w:t xml:space="preserve"> which incorporates all of the electoral wards which are partly included in the neighbourhood area (Option 1 below). </w:t>
      </w:r>
      <w:r w:rsidR="004B1F43" w:rsidRPr="004B1F43">
        <w:t xml:space="preserve">Arguments for and against some of the other choices are </w:t>
      </w:r>
      <w:r w:rsidR="004B1F43">
        <w:t xml:space="preserve">also </w:t>
      </w:r>
      <w:r w:rsidR="004B1F43" w:rsidRPr="004B1F43">
        <w:t>set out below.</w:t>
      </w:r>
    </w:p>
    <w:p w14:paraId="0897C94A" w14:textId="1ADF77B2" w:rsidR="000426AE" w:rsidRPr="00E97614" w:rsidRDefault="00E97614" w:rsidP="0053218F">
      <w:pPr>
        <w:rPr>
          <w:b/>
        </w:rPr>
      </w:pPr>
      <w:r>
        <w:rPr>
          <w:b/>
        </w:rPr>
        <w:t>Background</w:t>
      </w:r>
    </w:p>
    <w:p w14:paraId="03CC5045" w14:textId="48AB9B7E" w:rsidR="0053218F" w:rsidRDefault="00B35ACC" w:rsidP="0053218F">
      <w:r>
        <w:t>R</w:t>
      </w:r>
      <w:r w:rsidR="00092486">
        <w:t xml:space="preserve">esponsibility for setting the boundaries of the </w:t>
      </w:r>
      <w:r w:rsidR="00D1300F">
        <w:t>CENP</w:t>
      </w:r>
      <w:r w:rsidR="00092486">
        <w:t xml:space="preserve"> referendum area lies ultimately with LBE</w:t>
      </w:r>
      <w:r w:rsidR="0053218F">
        <w:t xml:space="preserve">. The detailed process is laid down in </w:t>
      </w:r>
      <w:r w:rsidR="0053218F" w:rsidRPr="00092486">
        <w:t>Schedule 4B to the Town and Country Planning Act 1990 (as inserted by Schedule 9 of the Localism Act 2011)</w:t>
      </w:r>
      <w:r w:rsidR="0053218F">
        <w:t>. The relevant paragraphs are copied below</w:t>
      </w:r>
      <w:r w:rsidR="00675949">
        <w:t xml:space="preserve"> (Appendix A)</w:t>
      </w:r>
      <w:r w:rsidR="0053218F">
        <w:t xml:space="preserve">, but basically they provide that </w:t>
      </w:r>
      <w:r w:rsidR="00D1300F">
        <w:t xml:space="preserve">the local authority decides </w:t>
      </w:r>
      <w:r w:rsidR="00724AE0">
        <w:t xml:space="preserve">the area, </w:t>
      </w:r>
      <w:r w:rsidR="00D1300F">
        <w:t>after</w:t>
      </w:r>
      <w:r w:rsidR="00C56347">
        <w:t xml:space="preserve"> the </w:t>
      </w:r>
      <w:r w:rsidR="0053218F">
        <w:t xml:space="preserve">independent </w:t>
      </w:r>
      <w:r w:rsidR="00C56347">
        <w:t>Examiner has made</w:t>
      </w:r>
      <w:r w:rsidR="00CD2A0C">
        <w:t xml:space="preserve"> a recommendation in </w:t>
      </w:r>
      <w:r w:rsidR="00C56347">
        <w:t xml:space="preserve">the </w:t>
      </w:r>
      <w:r w:rsidR="0053218F">
        <w:t xml:space="preserve">required </w:t>
      </w:r>
      <w:r w:rsidR="00C56347">
        <w:t>report</w:t>
      </w:r>
      <w:r w:rsidR="00092486">
        <w:t xml:space="preserve">. </w:t>
      </w:r>
    </w:p>
    <w:p w14:paraId="2B03E258" w14:textId="77777777" w:rsidR="00E11BE7" w:rsidRDefault="00C56347" w:rsidP="00E11BE7">
      <w:r>
        <w:t>The</w:t>
      </w:r>
      <w:r w:rsidR="0053218F">
        <w:t>re is little guidance on how the Ex</w:t>
      </w:r>
      <w:r w:rsidR="005904DD">
        <w:t>a</w:t>
      </w:r>
      <w:r w:rsidR="0053218F">
        <w:t>miner’s</w:t>
      </w:r>
      <w:r>
        <w:t xml:space="preserve"> initial assessment should be made, but</w:t>
      </w:r>
      <w:r w:rsidR="0053218F" w:rsidRPr="0053218F">
        <w:t xml:space="preserve"> </w:t>
      </w:r>
      <w:r w:rsidR="0053218F">
        <w:t xml:space="preserve">the DCLG Planning Practice Guidelines on the Independent Examination (Paragraph: 059 Reference ID: </w:t>
      </w:r>
      <w:r w:rsidR="0053218F" w:rsidRPr="0053218F">
        <w:t>41-059-20140306</w:t>
      </w:r>
      <w:r w:rsidR="0053218F">
        <w:t>) say:</w:t>
      </w:r>
    </w:p>
    <w:p w14:paraId="3BFF420E" w14:textId="0EBBBD77" w:rsidR="005904DD" w:rsidRDefault="0053218F" w:rsidP="00E11BE7">
      <w:pPr>
        <w:rPr>
          <w:rFonts w:cstheme="minorHAnsi"/>
        </w:rPr>
      </w:pPr>
      <w:r w:rsidRPr="00B35ACC">
        <w:rPr>
          <w:rFonts w:cstheme="minorHAnsi"/>
        </w:rPr>
        <w:t>“</w:t>
      </w:r>
      <w:r w:rsidR="00C56347" w:rsidRPr="00B35ACC">
        <w:rPr>
          <w:rFonts w:cstheme="minorHAnsi"/>
        </w:rPr>
        <w:t>It may be appropriate to extend the referendum area beyond the neighbourhood area, for example where the scale or nature of the proposals in the draft neighbourhood plan or Order are such that they will have a substantial, direct and demonstrable impact beyond the neighbourhood area.</w:t>
      </w:r>
      <w:r w:rsidRPr="00B35ACC">
        <w:rPr>
          <w:rFonts w:cstheme="minorHAnsi"/>
        </w:rPr>
        <w:t>”</w:t>
      </w:r>
    </w:p>
    <w:p w14:paraId="3991C4A4" w14:textId="7A791B8B" w:rsidR="00D1300F" w:rsidRDefault="0036059C">
      <w:r>
        <w:t>There are few precedents for how Examiners have applied those tests in reaching their decisions, but a significant one is that of the report on the Central Milton Keynes plan (</w:t>
      </w:r>
      <w:r w:rsidR="00E54C50">
        <w:t xml:space="preserve">also </w:t>
      </w:r>
      <w:r>
        <w:t>a ‘business area’ for the purposes of neighbourhood planning). Here the Examiner concluded that the referendums should</w:t>
      </w:r>
      <w:r w:rsidR="00833A66">
        <w:t xml:space="preserve"> </w:t>
      </w:r>
      <w:r>
        <w:t>include the whole population of the borough (some</w:t>
      </w:r>
      <w:r w:rsidR="003D0180">
        <w:t xml:space="preserve"> 2</w:t>
      </w:r>
      <w:r>
        <w:t xml:space="preserve">50,000 </w:t>
      </w:r>
      <w:r w:rsidR="00833A66">
        <w:t xml:space="preserve">individual voters), and not merely the 3,000 </w:t>
      </w:r>
      <w:r>
        <w:t>people</w:t>
      </w:r>
      <w:r w:rsidR="00833A66">
        <w:t xml:space="preserve"> living in the central area covered by the plan. The relevant paragraphs from the Examiner’s report are set out below</w:t>
      </w:r>
      <w:r w:rsidR="00675949">
        <w:t xml:space="preserve"> (Appendix B)</w:t>
      </w:r>
      <w:r w:rsidR="00833A66">
        <w:t>.</w:t>
      </w:r>
    </w:p>
    <w:p w14:paraId="6535B11F" w14:textId="677B2376" w:rsidR="00257DE6" w:rsidRDefault="00257DE6">
      <w:pPr>
        <w:rPr>
          <w:b/>
        </w:rPr>
      </w:pPr>
      <w:r>
        <w:rPr>
          <w:b/>
        </w:rPr>
        <w:t>The Tests</w:t>
      </w:r>
    </w:p>
    <w:p w14:paraId="42BF4953" w14:textId="3ABF8291" w:rsidR="003D0180" w:rsidRDefault="00257DE6">
      <w:r>
        <w:t xml:space="preserve">The most significant </w:t>
      </w:r>
      <w:r w:rsidR="00FA7704">
        <w:t>consideration is whether</w:t>
      </w:r>
      <w:r>
        <w:t xml:space="preserve"> the plan proposals “</w:t>
      </w:r>
      <w:r w:rsidRPr="00257DE6">
        <w:t>have a substantial, direct and demonstrable impact beyond the neighbourhood area.”</w:t>
      </w:r>
      <w:r>
        <w:t xml:space="preserve"> While this is given as an example and would not rule out administrative convenience and cost as possible factors, the latter are unlikely to carry as much weight. </w:t>
      </w:r>
      <w:r w:rsidR="00795E27">
        <w:t>However the balance of argument must rest on the local circumstances</w:t>
      </w:r>
      <w:r w:rsidR="003D0180">
        <w:t>. Th</w:t>
      </w:r>
      <w:r w:rsidR="006126DC">
        <w:t xml:space="preserve">ese </w:t>
      </w:r>
      <w:r w:rsidR="003D0180">
        <w:t>include:</w:t>
      </w:r>
    </w:p>
    <w:p w14:paraId="52FCD1F9" w14:textId="68DF6164" w:rsidR="00424EB2" w:rsidRPr="00424EB2" w:rsidRDefault="00424EB2" w:rsidP="003D0180">
      <w:pPr>
        <w:pStyle w:val="ListParagraph"/>
        <w:numPr>
          <w:ilvl w:val="0"/>
          <w:numId w:val="1"/>
        </w:numPr>
      </w:pPr>
      <w:r w:rsidRPr="00424EB2">
        <w:t xml:space="preserve">Character of the Neighbourhood Area </w:t>
      </w:r>
    </w:p>
    <w:p w14:paraId="0EC585EA" w14:textId="77777777" w:rsidR="003D0180" w:rsidRPr="003D0180" w:rsidRDefault="003D0180" w:rsidP="003D0180">
      <w:pPr>
        <w:pStyle w:val="ListParagraph"/>
        <w:numPr>
          <w:ilvl w:val="0"/>
          <w:numId w:val="1"/>
        </w:numPr>
        <w:rPr>
          <w:b/>
        </w:rPr>
      </w:pPr>
      <w:r>
        <w:t>Proximity of other centres</w:t>
      </w:r>
    </w:p>
    <w:p w14:paraId="1B2CA198" w14:textId="4C61F290" w:rsidR="00756111" w:rsidRPr="00F358EA" w:rsidRDefault="00756111" w:rsidP="003D0180">
      <w:pPr>
        <w:pStyle w:val="ListParagraph"/>
        <w:numPr>
          <w:ilvl w:val="0"/>
          <w:numId w:val="1"/>
        </w:numPr>
      </w:pPr>
      <w:r>
        <w:t>Economic impact</w:t>
      </w:r>
      <w:r w:rsidR="005E332B">
        <w:t xml:space="preserve"> of plan proposals</w:t>
      </w:r>
    </w:p>
    <w:p w14:paraId="4245F297" w14:textId="6F7177A5" w:rsidR="00F358EA" w:rsidRPr="00F358EA" w:rsidRDefault="00AC47E5" w:rsidP="003D0180">
      <w:pPr>
        <w:pStyle w:val="ListParagraph"/>
        <w:numPr>
          <w:ilvl w:val="0"/>
          <w:numId w:val="1"/>
        </w:numPr>
      </w:pPr>
      <w:r>
        <w:t xml:space="preserve">Other </w:t>
      </w:r>
      <w:r w:rsidR="00E00E74">
        <w:t xml:space="preserve">plan </w:t>
      </w:r>
      <w:r>
        <w:t>i</w:t>
      </w:r>
      <w:r w:rsidR="00756111">
        <w:t>mpact</w:t>
      </w:r>
      <w:r>
        <w:t>s</w:t>
      </w:r>
      <w:r w:rsidR="00756111">
        <w:t xml:space="preserve"> </w:t>
      </w:r>
    </w:p>
    <w:p w14:paraId="54BDF643" w14:textId="34DDC640" w:rsidR="00CD2A0C" w:rsidRDefault="00E54C50">
      <w:r>
        <w:rPr>
          <w:b/>
        </w:rPr>
        <w:br w:type="page"/>
      </w:r>
      <w:r w:rsidR="00973986" w:rsidRPr="00CD2A0C">
        <w:rPr>
          <w:b/>
        </w:rPr>
        <w:lastRenderedPageBreak/>
        <w:t>The Central Ealing Neighbourhood Area</w:t>
      </w:r>
      <w:r w:rsidR="00973986">
        <w:t xml:space="preserve"> </w:t>
      </w:r>
      <w:r w:rsidR="00C96F4C">
        <w:t>(CENA)</w:t>
      </w:r>
    </w:p>
    <w:p w14:paraId="4B1724B2" w14:textId="6CB985BD" w:rsidR="005904DD" w:rsidRDefault="000274EE">
      <w:r>
        <w:t xml:space="preserve">The </w:t>
      </w:r>
      <w:r w:rsidR="00C96F4C">
        <w:t>CENA</w:t>
      </w:r>
      <w:r w:rsidR="00ED3AF3">
        <w:t xml:space="preserve"> </w:t>
      </w:r>
      <w:r>
        <w:t xml:space="preserve">boundary largely follows that of the eastern end of the Ealing Metropolitan Town Centre (which is also that of the Ealing Broadway BID). </w:t>
      </w:r>
      <w:r w:rsidR="006126DC">
        <w:t>I</w:t>
      </w:r>
      <w:r>
        <w:t xml:space="preserve">t is </w:t>
      </w:r>
      <w:r w:rsidR="006126DC">
        <w:t xml:space="preserve">a </w:t>
      </w:r>
      <w:r>
        <w:t xml:space="preserve">mainly a commercial area comprising retail and business premises, though with an expanding residential population. It </w:t>
      </w:r>
      <w:r w:rsidR="00973986">
        <w:t xml:space="preserve">is made up of sections of three LBE </w:t>
      </w:r>
      <w:r w:rsidR="005904DD">
        <w:t xml:space="preserve">electoral </w:t>
      </w:r>
      <w:r w:rsidR="00973986">
        <w:t xml:space="preserve">wards (Ealing Broadway, Ealing Common and Walpole), and contains parts of 10 Polling Districts. </w:t>
      </w:r>
      <w:r w:rsidR="003673ED">
        <w:t>In addition there is a tiny part of Hanger Hill ward</w:t>
      </w:r>
      <w:r w:rsidR="0053218F">
        <w:t xml:space="preserve"> </w:t>
      </w:r>
      <w:r w:rsidR="00724AE0">
        <w:t xml:space="preserve">inside </w:t>
      </w:r>
      <w:r w:rsidR="006D06C7">
        <w:t xml:space="preserve">the </w:t>
      </w:r>
      <w:r w:rsidR="00724AE0">
        <w:t xml:space="preserve">CENA </w:t>
      </w:r>
      <w:r w:rsidR="0053218F">
        <w:t xml:space="preserve">which contains two </w:t>
      </w:r>
      <w:r w:rsidR="005904DD">
        <w:t>residential and two business addresses.</w:t>
      </w:r>
      <w:r w:rsidR="003673ED">
        <w:t xml:space="preserve">  </w:t>
      </w:r>
      <w:r w:rsidR="00973986">
        <w:t xml:space="preserve">The current electoral </w:t>
      </w:r>
      <w:r w:rsidR="003673ED">
        <w:t xml:space="preserve">roll (October 2016) shows </w:t>
      </w:r>
      <w:r w:rsidR="00E72A46">
        <w:t>less than</w:t>
      </w:r>
      <w:r w:rsidR="003673ED">
        <w:t xml:space="preserve"> 2,000</w:t>
      </w:r>
      <w:r w:rsidR="00973986">
        <w:t xml:space="preserve"> residents</w:t>
      </w:r>
      <w:r w:rsidR="00E72A46">
        <w:t>,</w:t>
      </w:r>
      <w:r w:rsidR="00973986">
        <w:t xml:space="preserve"> registered as voters in </w:t>
      </w:r>
      <w:r w:rsidR="003673ED">
        <w:t xml:space="preserve">1,000 properties. The size of the segments in each PD varies considerably, both in number and as a proportion of the total electorate, as </w:t>
      </w:r>
      <w:r w:rsidR="00EF4BA0">
        <w:t xml:space="preserve">in Table 1 </w:t>
      </w:r>
      <w:r w:rsidR="003673ED">
        <w:t>below:</w:t>
      </w:r>
    </w:p>
    <w:p w14:paraId="68AB2243" w14:textId="77777777" w:rsidR="006D06C7" w:rsidRDefault="006D06C7"/>
    <w:p w14:paraId="671AC57D" w14:textId="63710089" w:rsidR="00675949" w:rsidRDefault="00675949">
      <w:r>
        <w:t>Table 1</w:t>
      </w:r>
      <w:r w:rsidR="00AC47E5">
        <w:br/>
        <w:t>Voters in Neighbourhood Area and immediate vicinity</w:t>
      </w:r>
    </w:p>
    <w:tbl>
      <w:tblPr>
        <w:tblW w:w="0" w:type="auto"/>
        <w:tblInd w:w="-45" w:type="dxa"/>
        <w:tblLayout w:type="fixed"/>
        <w:tblCellMar>
          <w:left w:w="30" w:type="dxa"/>
          <w:right w:w="30" w:type="dxa"/>
        </w:tblCellMar>
        <w:tblLook w:val="0000" w:firstRow="0" w:lastRow="0" w:firstColumn="0" w:lastColumn="0" w:noHBand="0" w:noVBand="0"/>
      </w:tblPr>
      <w:tblGrid>
        <w:gridCol w:w="1728"/>
        <w:gridCol w:w="1397"/>
        <w:gridCol w:w="1397"/>
        <w:gridCol w:w="964"/>
        <w:gridCol w:w="965"/>
      </w:tblGrid>
      <w:tr w:rsidR="00DD3D61" w14:paraId="2EA4A56D" w14:textId="77777777">
        <w:trPr>
          <w:trHeight w:val="586"/>
        </w:trPr>
        <w:tc>
          <w:tcPr>
            <w:tcW w:w="1728" w:type="dxa"/>
            <w:tcBorders>
              <w:top w:val="single" w:sz="12" w:space="0" w:color="auto"/>
              <w:left w:val="single" w:sz="12" w:space="0" w:color="auto"/>
              <w:bottom w:val="single" w:sz="12" w:space="0" w:color="auto"/>
              <w:right w:val="single" w:sz="12" w:space="0" w:color="auto"/>
            </w:tcBorders>
          </w:tcPr>
          <w:p w14:paraId="2B9DE76B" w14:textId="441C6004" w:rsidR="00DD3D61" w:rsidRDefault="00DD3D61">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Col 1</w:t>
            </w:r>
          </w:p>
        </w:tc>
        <w:tc>
          <w:tcPr>
            <w:tcW w:w="1397" w:type="dxa"/>
            <w:tcBorders>
              <w:top w:val="single" w:sz="12" w:space="0" w:color="auto"/>
              <w:left w:val="nil"/>
              <w:bottom w:val="single" w:sz="12" w:space="0" w:color="auto"/>
              <w:right w:val="single" w:sz="12" w:space="0" w:color="auto"/>
            </w:tcBorders>
          </w:tcPr>
          <w:p w14:paraId="63C3AFE3" w14:textId="0F9C5039" w:rsidR="00DD3D61" w:rsidRDefault="00DD3D61">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Col 2</w:t>
            </w:r>
          </w:p>
        </w:tc>
        <w:tc>
          <w:tcPr>
            <w:tcW w:w="1397" w:type="dxa"/>
            <w:tcBorders>
              <w:top w:val="single" w:sz="12" w:space="0" w:color="auto"/>
              <w:left w:val="nil"/>
              <w:bottom w:val="single" w:sz="12" w:space="0" w:color="auto"/>
              <w:right w:val="single" w:sz="12" w:space="0" w:color="auto"/>
            </w:tcBorders>
          </w:tcPr>
          <w:p w14:paraId="653F8442" w14:textId="7ABE5B38" w:rsidR="00DD3D61" w:rsidRDefault="00DD3D61">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Col 3</w:t>
            </w:r>
          </w:p>
        </w:tc>
        <w:tc>
          <w:tcPr>
            <w:tcW w:w="964" w:type="dxa"/>
            <w:tcBorders>
              <w:top w:val="single" w:sz="12" w:space="0" w:color="auto"/>
              <w:left w:val="single" w:sz="12" w:space="0" w:color="auto"/>
              <w:bottom w:val="single" w:sz="12" w:space="0" w:color="auto"/>
              <w:right w:val="single" w:sz="12" w:space="0" w:color="auto"/>
            </w:tcBorders>
          </w:tcPr>
          <w:p w14:paraId="50C1CE4A" w14:textId="68E59BC0" w:rsidR="00DD3D61" w:rsidRDefault="00DD3D61" w:rsidP="00DD3D61">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Col 4</w:t>
            </w:r>
          </w:p>
        </w:tc>
        <w:tc>
          <w:tcPr>
            <w:tcW w:w="965" w:type="dxa"/>
            <w:tcBorders>
              <w:top w:val="single" w:sz="12" w:space="0" w:color="auto"/>
              <w:left w:val="nil"/>
              <w:bottom w:val="single" w:sz="12" w:space="0" w:color="auto"/>
              <w:right w:val="single" w:sz="12" w:space="0" w:color="auto"/>
            </w:tcBorders>
          </w:tcPr>
          <w:p w14:paraId="3613BF74" w14:textId="2DDC4E25" w:rsidR="00DD3D61" w:rsidRDefault="00DD3D61">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Col 5</w:t>
            </w:r>
          </w:p>
        </w:tc>
      </w:tr>
      <w:tr w:rsidR="005904DD" w14:paraId="7CC94527" w14:textId="77777777">
        <w:trPr>
          <w:trHeight w:val="586"/>
        </w:trPr>
        <w:tc>
          <w:tcPr>
            <w:tcW w:w="1728" w:type="dxa"/>
            <w:tcBorders>
              <w:top w:val="single" w:sz="12" w:space="0" w:color="auto"/>
              <w:left w:val="single" w:sz="12" w:space="0" w:color="auto"/>
              <w:bottom w:val="single" w:sz="12" w:space="0" w:color="auto"/>
              <w:right w:val="single" w:sz="12" w:space="0" w:color="auto"/>
            </w:tcBorders>
          </w:tcPr>
          <w:p w14:paraId="2CACB27A" w14:textId="77777777" w:rsidR="005904DD" w:rsidRDefault="005904DD">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Ward/Polling District</w:t>
            </w:r>
          </w:p>
        </w:tc>
        <w:tc>
          <w:tcPr>
            <w:tcW w:w="1397" w:type="dxa"/>
            <w:tcBorders>
              <w:top w:val="single" w:sz="12" w:space="0" w:color="auto"/>
              <w:left w:val="nil"/>
              <w:bottom w:val="single" w:sz="12" w:space="0" w:color="auto"/>
              <w:right w:val="single" w:sz="12" w:space="0" w:color="auto"/>
            </w:tcBorders>
          </w:tcPr>
          <w:p w14:paraId="7847CE24" w14:textId="77777777" w:rsidR="005904DD" w:rsidRDefault="005904DD">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Total electorate</w:t>
            </w:r>
          </w:p>
        </w:tc>
        <w:tc>
          <w:tcPr>
            <w:tcW w:w="1397" w:type="dxa"/>
            <w:tcBorders>
              <w:top w:val="single" w:sz="12" w:space="0" w:color="auto"/>
              <w:left w:val="nil"/>
              <w:bottom w:val="single" w:sz="12" w:space="0" w:color="auto"/>
              <w:right w:val="single" w:sz="12" w:space="0" w:color="auto"/>
            </w:tcBorders>
          </w:tcPr>
          <w:p w14:paraId="75BC3F23" w14:textId="77777777" w:rsidR="005904DD" w:rsidRDefault="005904DD">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No of voters in NA</w:t>
            </w:r>
          </w:p>
        </w:tc>
        <w:tc>
          <w:tcPr>
            <w:tcW w:w="964" w:type="dxa"/>
            <w:tcBorders>
              <w:top w:val="single" w:sz="12" w:space="0" w:color="auto"/>
              <w:left w:val="single" w:sz="12" w:space="0" w:color="auto"/>
              <w:bottom w:val="single" w:sz="12" w:space="0" w:color="auto"/>
              <w:right w:val="single" w:sz="12" w:space="0" w:color="auto"/>
            </w:tcBorders>
          </w:tcPr>
          <w:p w14:paraId="51CF1448" w14:textId="75EB53E5" w:rsidR="005904DD" w:rsidRDefault="00DD3D61" w:rsidP="00DD3D61">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 xml:space="preserve">Col 3 as </w:t>
            </w:r>
            <w:r w:rsidR="005904DD">
              <w:rPr>
                <w:rFonts w:ascii="Calibri" w:hAnsi="Calibri" w:cs="Calibri"/>
                <w:b/>
                <w:bCs/>
                <w:color w:val="000000"/>
              </w:rPr>
              <w:t xml:space="preserve">% of </w:t>
            </w:r>
            <w:r>
              <w:rPr>
                <w:rFonts w:ascii="Calibri" w:hAnsi="Calibri" w:cs="Calibri"/>
                <w:b/>
                <w:bCs/>
                <w:color w:val="000000"/>
              </w:rPr>
              <w:t>2</w:t>
            </w:r>
          </w:p>
        </w:tc>
        <w:tc>
          <w:tcPr>
            <w:tcW w:w="965" w:type="dxa"/>
            <w:tcBorders>
              <w:top w:val="single" w:sz="12" w:space="0" w:color="auto"/>
              <w:left w:val="nil"/>
              <w:bottom w:val="single" w:sz="12" w:space="0" w:color="auto"/>
              <w:right w:val="single" w:sz="12" w:space="0" w:color="auto"/>
            </w:tcBorders>
          </w:tcPr>
          <w:p w14:paraId="1049DDA9" w14:textId="0156D4D8" w:rsidR="005904DD" w:rsidRDefault="00DD3D61">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Col 3 as %</w:t>
            </w:r>
            <w:r w:rsidR="005904DD">
              <w:rPr>
                <w:rFonts w:ascii="Calibri" w:hAnsi="Calibri" w:cs="Calibri"/>
                <w:b/>
                <w:bCs/>
                <w:color w:val="000000"/>
              </w:rPr>
              <w:t xml:space="preserve"> of NA</w:t>
            </w:r>
          </w:p>
        </w:tc>
      </w:tr>
      <w:tr w:rsidR="005904DD" w14:paraId="6548662C" w14:textId="77777777">
        <w:trPr>
          <w:trHeight w:val="298"/>
        </w:trPr>
        <w:tc>
          <w:tcPr>
            <w:tcW w:w="1728" w:type="dxa"/>
            <w:tcBorders>
              <w:top w:val="single" w:sz="12" w:space="0" w:color="auto"/>
              <w:left w:val="nil"/>
              <w:bottom w:val="single" w:sz="12" w:space="0" w:color="auto"/>
              <w:right w:val="nil"/>
            </w:tcBorders>
          </w:tcPr>
          <w:p w14:paraId="506EE22D" w14:textId="77777777" w:rsidR="005904DD" w:rsidRDefault="005904DD">
            <w:pPr>
              <w:autoSpaceDE w:val="0"/>
              <w:autoSpaceDN w:val="0"/>
              <w:adjustRightInd w:val="0"/>
              <w:spacing w:after="0" w:line="240" w:lineRule="auto"/>
              <w:rPr>
                <w:rFonts w:ascii="Calibri" w:hAnsi="Calibri" w:cs="Calibri"/>
                <w:color w:val="000000"/>
              </w:rPr>
            </w:pPr>
            <w:r>
              <w:rPr>
                <w:rFonts w:ascii="Calibri" w:hAnsi="Calibri" w:cs="Calibri"/>
                <w:color w:val="000000"/>
              </w:rPr>
              <w:t>Ealing Broadway</w:t>
            </w:r>
          </w:p>
        </w:tc>
        <w:tc>
          <w:tcPr>
            <w:tcW w:w="1397" w:type="dxa"/>
            <w:tcBorders>
              <w:top w:val="single" w:sz="12" w:space="0" w:color="auto"/>
              <w:left w:val="nil"/>
              <w:bottom w:val="single" w:sz="12" w:space="0" w:color="auto"/>
              <w:right w:val="nil"/>
            </w:tcBorders>
          </w:tcPr>
          <w:p w14:paraId="48E7BFAC" w14:textId="77777777" w:rsidR="005904DD" w:rsidRDefault="005904DD">
            <w:pPr>
              <w:autoSpaceDE w:val="0"/>
              <w:autoSpaceDN w:val="0"/>
              <w:adjustRightInd w:val="0"/>
              <w:spacing w:after="0" w:line="240" w:lineRule="auto"/>
              <w:jc w:val="right"/>
              <w:rPr>
                <w:rFonts w:ascii="Calibri" w:hAnsi="Calibri" w:cs="Calibri"/>
                <w:color w:val="000000"/>
              </w:rPr>
            </w:pPr>
          </w:p>
        </w:tc>
        <w:tc>
          <w:tcPr>
            <w:tcW w:w="1397" w:type="dxa"/>
            <w:tcBorders>
              <w:top w:val="single" w:sz="12" w:space="0" w:color="auto"/>
              <w:left w:val="nil"/>
              <w:bottom w:val="single" w:sz="12" w:space="0" w:color="auto"/>
              <w:right w:val="nil"/>
            </w:tcBorders>
          </w:tcPr>
          <w:p w14:paraId="7DB115D4" w14:textId="77777777" w:rsidR="005904DD" w:rsidRDefault="005904DD">
            <w:pPr>
              <w:autoSpaceDE w:val="0"/>
              <w:autoSpaceDN w:val="0"/>
              <w:adjustRightInd w:val="0"/>
              <w:spacing w:after="0" w:line="240" w:lineRule="auto"/>
              <w:jc w:val="right"/>
              <w:rPr>
                <w:rFonts w:ascii="Calibri" w:hAnsi="Calibri" w:cs="Calibri"/>
                <w:color w:val="000000"/>
              </w:rPr>
            </w:pPr>
          </w:p>
        </w:tc>
        <w:tc>
          <w:tcPr>
            <w:tcW w:w="964" w:type="dxa"/>
            <w:tcBorders>
              <w:top w:val="nil"/>
              <w:left w:val="nil"/>
              <w:bottom w:val="nil"/>
              <w:right w:val="nil"/>
            </w:tcBorders>
          </w:tcPr>
          <w:p w14:paraId="0D9F58E2" w14:textId="77777777" w:rsidR="005904DD" w:rsidRDefault="005904DD">
            <w:pPr>
              <w:autoSpaceDE w:val="0"/>
              <w:autoSpaceDN w:val="0"/>
              <w:adjustRightInd w:val="0"/>
              <w:spacing w:after="0" w:line="240" w:lineRule="auto"/>
              <w:jc w:val="right"/>
              <w:rPr>
                <w:rFonts w:ascii="Arial" w:hAnsi="Arial" w:cs="Arial"/>
                <w:color w:val="000000"/>
                <w:sz w:val="20"/>
                <w:szCs w:val="20"/>
              </w:rPr>
            </w:pPr>
          </w:p>
        </w:tc>
        <w:tc>
          <w:tcPr>
            <w:tcW w:w="965" w:type="dxa"/>
            <w:tcBorders>
              <w:top w:val="nil"/>
              <w:left w:val="nil"/>
              <w:bottom w:val="nil"/>
              <w:right w:val="nil"/>
            </w:tcBorders>
          </w:tcPr>
          <w:p w14:paraId="35219B1D" w14:textId="77777777" w:rsidR="005904DD" w:rsidRDefault="005904DD">
            <w:pPr>
              <w:autoSpaceDE w:val="0"/>
              <w:autoSpaceDN w:val="0"/>
              <w:adjustRightInd w:val="0"/>
              <w:spacing w:after="0" w:line="240" w:lineRule="auto"/>
              <w:jc w:val="right"/>
              <w:rPr>
                <w:rFonts w:ascii="Arial" w:hAnsi="Arial" w:cs="Arial"/>
                <w:color w:val="000000"/>
                <w:sz w:val="20"/>
                <w:szCs w:val="20"/>
              </w:rPr>
            </w:pPr>
          </w:p>
        </w:tc>
      </w:tr>
      <w:tr w:rsidR="005904DD" w14:paraId="17BF9C72" w14:textId="77777777">
        <w:trPr>
          <w:trHeight w:val="298"/>
        </w:trPr>
        <w:tc>
          <w:tcPr>
            <w:tcW w:w="1728" w:type="dxa"/>
            <w:tcBorders>
              <w:top w:val="nil"/>
              <w:left w:val="single" w:sz="12" w:space="0" w:color="auto"/>
              <w:bottom w:val="single" w:sz="12" w:space="0" w:color="auto"/>
              <w:right w:val="single" w:sz="12" w:space="0" w:color="auto"/>
            </w:tcBorders>
          </w:tcPr>
          <w:p w14:paraId="2584A07E" w14:textId="7FF996DE" w:rsidR="005904DD" w:rsidRDefault="005904DD" w:rsidP="005904DD">
            <w:pPr>
              <w:tabs>
                <w:tab w:val="center" w:pos="834"/>
              </w:tabs>
              <w:autoSpaceDE w:val="0"/>
              <w:autoSpaceDN w:val="0"/>
              <w:adjustRightInd w:val="0"/>
              <w:spacing w:after="0" w:line="240" w:lineRule="auto"/>
              <w:jc w:val="center"/>
              <w:rPr>
                <w:rFonts w:ascii="Calibri" w:hAnsi="Calibri" w:cs="Calibri"/>
                <w:color w:val="000000"/>
              </w:rPr>
            </w:pPr>
            <w:r>
              <w:rPr>
                <w:rFonts w:ascii="Calibri" w:hAnsi="Calibri" w:cs="Calibri"/>
                <w:color w:val="000000"/>
              </w:rPr>
              <w:t>HA</w:t>
            </w:r>
            <w:r w:rsidR="00724AE0">
              <w:rPr>
                <w:rFonts w:ascii="Calibri" w:hAnsi="Calibri" w:cs="Calibri"/>
                <w:color w:val="000000"/>
              </w:rPr>
              <w:t>A</w:t>
            </w:r>
          </w:p>
        </w:tc>
        <w:tc>
          <w:tcPr>
            <w:tcW w:w="1397" w:type="dxa"/>
            <w:tcBorders>
              <w:top w:val="nil"/>
              <w:left w:val="nil"/>
              <w:bottom w:val="single" w:sz="12" w:space="0" w:color="auto"/>
              <w:right w:val="single" w:sz="12" w:space="0" w:color="auto"/>
            </w:tcBorders>
          </w:tcPr>
          <w:p w14:paraId="6C0DDAF0" w14:textId="77777777" w:rsidR="005904DD" w:rsidRDefault="005904DD" w:rsidP="005904D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1342</w:t>
            </w:r>
          </w:p>
        </w:tc>
        <w:tc>
          <w:tcPr>
            <w:tcW w:w="1397" w:type="dxa"/>
            <w:tcBorders>
              <w:top w:val="nil"/>
              <w:left w:val="nil"/>
              <w:bottom w:val="single" w:sz="12" w:space="0" w:color="auto"/>
              <w:right w:val="nil"/>
            </w:tcBorders>
          </w:tcPr>
          <w:p w14:paraId="6A9508DE" w14:textId="77777777" w:rsidR="005904DD" w:rsidRDefault="005904DD" w:rsidP="005904D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145</w:t>
            </w:r>
          </w:p>
        </w:tc>
        <w:tc>
          <w:tcPr>
            <w:tcW w:w="964" w:type="dxa"/>
            <w:tcBorders>
              <w:top w:val="single" w:sz="12" w:space="0" w:color="auto"/>
              <w:left w:val="single" w:sz="12" w:space="0" w:color="auto"/>
              <w:bottom w:val="single" w:sz="12" w:space="0" w:color="auto"/>
              <w:right w:val="single" w:sz="12" w:space="0" w:color="auto"/>
            </w:tcBorders>
          </w:tcPr>
          <w:p w14:paraId="72822B33" w14:textId="77777777" w:rsidR="005904DD" w:rsidRDefault="005904DD" w:rsidP="005904DD">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10.8%</w:t>
            </w:r>
          </w:p>
        </w:tc>
        <w:tc>
          <w:tcPr>
            <w:tcW w:w="965" w:type="dxa"/>
            <w:tcBorders>
              <w:top w:val="single" w:sz="12" w:space="0" w:color="auto"/>
              <w:left w:val="single" w:sz="12" w:space="0" w:color="auto"/>
              <w:bottom w:val="single" w:sz="12" w:space="0" w:color="auto"/>
              <w:right w:val="single" w:sz="12" w:space="0" w:color="auto"/>
            </w:tcBorders>
          </w:tcPr>
          <w:p w14:paraId="06C03BB7" w14:textId="77777777" w:rsidR="005904DD" w:rsidRDefault="005904DD" w:rsidP="005904DD">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8.4%</w:t>
            </w:r>
          </w:p>
        </w:tc>
      </w:tr>
      <w:tr w:rsidR="005904DD" w14:paraId="2D8F29FA" w14:textId="77777777">
        <w:trPr>
          <w:trHeight w:val="298"/>
        </w:trPr>
        <w:tc>
          <w:tcPr>
            <w:tcW w:w="1728" w:type="dxa"/>
            <w:tcBorders>
              <w:top w:val="nil"/>
              <w:left w:val="single" w:sz="12" w:space="0" w:color="auto"/>
              <w:bottom w:val="single" w:sz="12" w:space="0" w:color="auto"/>
              <w:right w:val="single" w:sz="12" w:space="0" w:color="auto"/>
            </w:tcBorders>
          </w:tcPr>
          <w:p w14:paraId="2CE18766" w14:textId="318DF7DF" w:rsidR="005904DD" w:rsidRDefault="005904DD" w:rsidP="005904D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HB</w:t>
            </w:r>
            <w:r w:rsidR="00724AE0">
              <w:rPr>
                <w:rFonts w:ascii="Calibri" w:hAnsi="Calibri" w:cs="Calibri"/>
                <w:color w:val="000000"/>
              </w:rPr>
              <w:t>A</w:t>
            </w:r>
          </w:p>
        </w:tc>
        <w:tc>
          <w:tcPr>
            <w:tcW w:w="1397" w:type="dxa"/>
            <w:tcBorders>
              <w:top w:val="nil"/>
              <w:left w:val="nil"/>
              <w:bottom w:val="single" w:sz="12" w:space="0" w:color="auto"/>
              <w:right w:val="single" w:sz="12" w:space="0" w:color="auto"/>
            </w:tcBorders>
          </w:tcPr>
          <w:p w14:paraId="6314208E" w14:textId="77777777" w:rsidR="005904DD" w:rsidRDefault="005904DD" w:rsidP="005904D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1998</w:t>
            </w:r>
          </w:p>
        </w:tc>
        <w:tc>
          <w:tcPr>
            <w:tcW w:w="1397" w:type="dxa"/>
            <w:tcBorders>
              <w:top w:val="nil"/>
              <w:left w:val="nil"/>
              <w:bottom w:val="single" w:sz="12" w:space="0" w:color="auto"/>
              <w:right w:val="nil"/>
            </w:tcBorders>
          </w:tcPr>
          <w:p w14:paraId="1631D2E3" w14:textId="77777777" w:rsidR="005904DD" w:rsidRDefault="005904DD" w:rsidP="005904D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76</w:t>
            </w:r>
          </w:p>
        </w:tc>
        <w:tc>
          <w:tcPr>
            <w:tcW w:w="964" w:type="dxa"/>
            <w:tcBorders>
              <w:top w:val="single" w:sz="12" w:space="0" w:color="auto"/>
              <w:left w:val="single" w:sz="12" w:space="0" w:color="auto"/>
              <w:bottom w:val="single" w:sz="12" w:space="0" w:color="auto"/>
              <w:right w:val="single" w:sz="12" w:space="0" w:color="auto"/>
            </w:tcBorders>
          </w:tcPr>
          <w:p w14:paraId="10740624" w14:textId="77777777" w:rsidR="005904DD" w:rsidRDefault="005904DD" w:rsidP="005904DD">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3.8%</w:t>
            </w:r>
          </w:p>
        </w:tc>
        <w:tc>
          <w:tcPr>
            <w:tcW w:w="965" w:type="dxa"/>
            <w:tcBorders>
              <w:top w:val="single" w:sz="12" w:space="0" w:color="auto"/>
              <w:left w:val="single" w:sz="12" w:space="0" w:color="auto"/>
              <w:bottom w:val="single" w:sz="12" w:space="0" w:color="auto"/>
              <w:right w:val="single" w:sz="12" w:space="0" w:color="auto"/>
            </w:tcBorders>
          </w:tcPr>
          <w:p w14:paraId="4E1C44FB" w14:textId="77777777" w:rsidR="005904DD" w:rsidRDefault="005904DD" w:rsidP="005904DD">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4.4%</w:t>
            </w:r>
          </w:p>
        </w:tc>
      </w:tr>
      <w:tr w:rsidR="005904DD" w14:paraId="354B6D74" w14:textId="77777777">
        <w:trPr>
          <w:trHeight w:val="298"/>
        </w:trPr>
        <w:tc>
          <w:tcPr>
            <w:tcW w:w="1728" w:type="dxa"/>
            <w:tcBorders>
              <w:top w:val="nil"/>
              <w:left w:val="single" w:sz="12" w:space="0" w:color="auto"/>
              <w:bottom w:val="single" w:sz="12" w:space="0" w:color="auto"/>
              <w:right w:val="single" w:sz="12" w:space="0" w:color="auto"/>
            </w:tcBorders>
          </w:tcPr>
          <w:p w14:paraId="684A18A9" w14:textId="1DA40707" w:rsidR="005904DD" w:rsidRDefault="005904DD" w:rsidP="005904D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HC</w:t>
            </w:r>
            <w:r w:rsidR="00724AE0">
              <w:rPr>
                <w:rFonts w:ascii="Calibri" w:hAnsi="Calibri" w:cs="Calibri"/>
                <w:color w:val="000000"/>
              </w:rPr>
              <w:t>N</w:t>
            </w:r>
          </w:p>
        </w:tc>
        <w:tc>
          <w:tcPr>
            <w:tcW w:w="1397" w:type="dxa"/>
            <w:tcBorders>
              <w:top w:val="nil"/>
              <w:left w:val="nil"/>
              <w:bottom w:val="single" w:sz="12" w:space="0" w:color="auto"/>
              <w:right w:val="single" w:sz="12" w:space="0" w:color="auto"/>
            </w:tcBorders>
          </w:tcPr>
          <w:p w14:paraId="7DA0F81D" w14:textId="77777777" w:rsidR="005904DD" w:rsidRDefault="005904DD" w:rsidP="005904D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1600</w:t>
            </w:r>
          </w:p>
        </w:tc>
        <w:tc>
          <w:tcPr>
            <w:tcW w:w="1397" w:type="dxa"/>
            <w:tcBorders>
              <w:top w:val="nil"/>
              <w:left w:val="nil"/>
              <w:bottom w:val="single" w:sz="12" w:space="0" w:color="auto"/>
              <w:right w:val="nil"/>
            </w:tcBorders>
          </w:tcPr>
          <w:p w14:paraId="235B5FE1" w14:textId="77777777" w:rsidR="005904DD" w:rsidRDefault="005904DD" w:rsidP="005904D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79</w:t>
            </w:r>
          </w:p>
        </w:tc>
        <w:tc>
          <w:tcPr>
            <w:tcW w:w="964" w:type="dxa"/>
            <w:tcBorders>
              <w:top w:val="single" w:sz="12" w:space="0" w:color="auto"/>
              <w:left w:val="single" w:sz="12" w:space="0" w:color="auto"/>
              <w:bottom w:val="single" w:sz="12" w:space="0" w:color="auto"/>
              <w:right w:val="single" w:sz="12" w:space="0" w:color="auto"/>
            </w:tcBorders>
          </w:tcPr>
          <w:p w14:paraId="037A1196" w14:textId="77777777" w:rsidR="005904DD" w:rsidRDefault="005904DD" w:rsidP="005904DD">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4.9%</w:t>
            </w:r>
          </w:p>
        </w:tc>
        <w:tc>
          <w:tcPr>
            <w:tcW w:w="965" w:type="dxa"/>
            <w:tcBorders>
              <w:top w:val="single" w:sz="12" w:space="0" w:color="auto"/>
              <w:left w:val="single" w:sz="12" w:space="0" w:color="auto"/>
              <w:bottom w:val="single" w:sz="12" w:space="0" w:color="auto"/>
              <w:right w:val="single" w:sz="12" w:space="0" w:color="auto"/>
            </w:tcBorders>
          </w:tcPr>
          <w:p w14:paraId="7D01489B" w14:textId="77777777" w:rsidR="005904DD" w:rsidRDefault="005904DD" w:rsidP="005904DD">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4.6%</w:t>
            </w:r>
          </w:p>
        </w:tc>
      </w:tr>
      <w:tr w:rsidR="005904DD" w14:paraId="2C8AB03D" w14:textId="77777777">
        <w:trPr>
          <w:trHeight w:val="298"/>
        </w:trPr>
        <w:tc>
          <w:tcPr>
            <w:tcW w:w="1728" w:type="dxa"/>
            <w:tcBorders>
              <w:top w:val="nil"/>
              <w:left w:val="single" w:sz="12" w:space="0" w:color="auto"/>
              <w:bottom w:val="single" w:sz="12" w:space="0" w:color="auto"/>
              <w:right w:val="single" w:sz="12" w:space="0" w:color="auto"/>
            </w:tcBorders>
          </w:tcPr>
          <w:p w14:paraId="29B2BA75" w14:textId="64AA64D0" w:rsidR="005904DD" w:rsidRDefault="005904DD" w:rsidP="005904D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HE</w:t>
            </w:r>
            <w:r w:rsidR="00724AE0">
              <w:rPr>
                <w:rFonts w:ascii="Calibri" w:hAnsi="Calibri" w:cs="Calibri"/>
                <w:color w:val="000000"/>
              </w:rPr>
              <w:t>S</w:t>
            </w:r>
          </w:p>
        </w:tc>
        <w:tc>
          <w:tcPr>
            <w:tcW w:w="1397" w:type="dxa"/>
            <w:tcBorders>
              <w:top w:val="nil"/>
              <w:left w:val="nil"/>
              <w:bottom w:val="single" w:sz="12" w:space="0" w:color="auto"/>
              <w:right w:val="single" w:sz="12" w:space="0" w:color="auto"/>
            </w:tcBorders>
          </w:tcPr>
          <w:p w14:paraId="48A7E0A3" w14:textId="77777777" w:rsidR="005904DD" w:rsidRDefault="005904DD" w:rsidP="005904D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1135</w:t>
            </w:r>
          </w:p>
        </w:tc>
        <w:tc>
          <w:tcPr>
            <w:tcW w:w="1397" w:type="dxa"/>
            <w:tcBorders>
              <w:top w:val="nil"/>
              <w:left w:val="nil"/>
              <w:bottom w:val="single" w:sz="12" w:space="0" w:color="auto"/>
              <w:right w:val="nil"/>
            </w:tcBorders>
          </w:tcPr>
          <w:p w14:paraId="6B61A7A7" w14:textId="77777777" w:rsidR="005904DD" w:rsidRDefault="005904DD" w:rsidP="005904D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278</w:t>
            </w:r>
          </w:p>
        </w:tc>
        <w:tc>
          <w:tcPr>
            <w:tcW w:w="964" w:type="dxa"/>
            <w:tcBorders>
              <w:top w:val="single" w:sz="12" w:space="0" w:color="auto"/>
              <w:left w:val="single" w:sz="12" w:space="0" w:color="auto"/>
              <w:bottom w:val="single" w:sz="12" w:space="0" w:color="auto"/>
              <w:right w:val="single" w:sz="12" w:space="0" w:color="auto"/>
            </w:tcBorders>
          </w:tcPr>
          <w:p w14:paraId="1C6994BA" w14:textId="77777777" w:rsidR="005904DD" w:rsidRDefault="005904DD" w:rsidP="005904DD">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24.5%</w:t>
            </w:r>
          </w:p>
        </w:tc>
        <w:tc>
          <w:tcPr>
            <w:tcW w:w="965" w:type="dxa"/>
            <w:tcBorders>
              <w:top w:val="single" w:sz="12" w:space="0" w:color="auto"/>
              <w:left w:val="single" w:sz="12" w:space="0" w:color="auto"/>
              <w:bottom w:val="single" w:sz="12" w:space="0" w:color="auto"/>
              <w:right w:val="single" w:sz="12" w:space="0" w:color="auto"/>
            </w:tcBorders>
          </w:tcPr>
          <w:p w14:paraId="197B5C25" w14:textId="77777777" w:rsidR="005904DD" w:rsidRDefault="005904DD" w:rsidP="005904DD">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16.1%</w:t>
            </w:r>
          </w:p>
        </w:tc>
      </w:tr>
      <w:tr w:rsidR="005904DD" w14:paraId="6314F43C" w14:textId="77777777">
        <w:trPr>
          <w:trHeight w:val="298"/>
        </w:trPr>
        <w:tc>
          <w:tcPr>
            <w:tcW w:w="1728" w:type="dxa"/>
            <w:tcBorders>
              <w:top w:val="nil"/>
              <w:left w:val="single" w:sz="12" w:space="0" w:color="auto"/>
              <w:bottom w:val="single" w:sz="12" w:space="0" w:color="auto"/>
              <w:right w:val="single" w:sz="12" w:space="0" w:color="auto"/>
            </w:tcBorders>
          </w:tcPr>
          <w:p w14:paraId="5F97E1DC" w14:textId="0A3CB4C8" w:rsidR="005904DD" w:rsidRDefault="005904DD" w:rsidP="005904D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HF</w:t>
            </w:r>
            <w:r w:rsidR="00724AE0">
              <w:rPr>
                <w:rFonts w:ascii="Calibri" w:hAnsi="Calibri" w:cs="Calibri"/>
                <w:color w:val="000000"/>
              </w:rPr>
              <w:t>S</w:t>
            </w:r>
          </w:p>
        </w:tc>
        <w:tc>
          <w:tcPr>
            <w:tcW w:w="1397" w:type="dxa"/>
            <w:tcBorders>
              <w:top w:val="nil"/>
              <w:left w:val="nil"/>
              <w:bottom w:val="single" w:sz="12" w:space="0" w:color="auto"/>
              <w:right w:val="single" w:sz="12" w:space="0" w:color="auto"/>
            </w:tcBorders>
          </w:tcPr>
          <w:p w14:paraId="60C09C9F" w14:textId="77777777" w:rsidR="005904DD" w:rsidRDefault="005904DD" w:rsidP="005904D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1810</w:t>
            </w:r>
          </w:p>
        </w:tc>
        <w:tc>
          <w:tcPr>
            <w:tcW w:w="1397" w:type="dxa"/>
            <w:tcBorders>
              <w:top w:val="nil"/>
              <w:left w:val="nil"/>
              <w:bottom w:val="single" w:sz="12" w:space="0" w:color="auto"/>
              <w:right w:val="nil"/>
            </w:tcBorders>
          </w:tcPr>
          <w:p w14:paraId="58456896" w14:textId="77777777" w:rsidR="005904DD" w:rsidRDefault="005904DD" w:rsidP="005904D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711</w:t>
            </w:r>
          </w:p>
        </w:tc>
        <w:tc>
          <w:tcPr>
            <w:tcW w:w="964" w:type="dxa"/>
            <w:tcBorders>
              <w:top w:val="single" w:sz="12" w:space="0" w:color="auto"/>
              <w:left w:val="single" w:sz="12" w:space="0" w:color="auto"/>
              <w:bottom w:val="single" w:sz="12" w:space="0" w:color="auto"/>
              <w:right w:val="single" w:sz="12" w:space="0" w:color="auto"/>
            </w:tcBorders>
          </w:tcPr>
          <w:p w14:paraId="79CA20C0" w14:textId="77777777" w:rsidR="005904DD" w:rsidRDefault="005904DD" w:rsidP="005904DD">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39.3%</w:t>
            </w:r>
          </w:p>
        </w:tc>
        <w:tc>
          <w:tcPr>
            <w:tcW w:w="965" w:type="dxa"/>
            <w:tcBorders>
              <w:top w:val="single" w:sz="12" w:space="0" w:color="auto"/>
              <w:left w:val="single" w:sz="12" w:space="0" w:color="auto"/>
              <w:bottom w:val="single" w:sz="12" w:space="0" w:color="auto"/>
              <w:right w:val="single" w:sz="12" w:space="0" w:color="auto"/>
            </w:tcBorders>
          </w:tcPr>
          <w:p w14:paraId="5A5752EB" w14:textId="77777777" w:rsidR="005904DD" w:rsidRDefault="005904DD" w:rsidP="005904DD">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41.3%</w:t>
            </w:r>
          </w:p>
        </w:tc>
      </w:tr>
      <w:tr w:rsidR="005904DD" w14:paraId="4E8B7C67" w14:textId="77777777" w:rsidTr="00424EB2">
        <w:trPr>
          <w:trHeight w:val="298"/>
        </w:trPr>
        <w:tc>
          <w:tcPr>
            <w:tcW w:w="1728" w:type="dxa"/>
            <w:tcBorders>
              <w:top w:val="nil"/>
              <w:left w:val="single" w:sz="12" w:space="0" w:color="auto"/>
              <w:bottom w:val="single" w:sz="12" w:space="0" w:color="auto"/>
              <w:right w:val="single" w:sz="12" w:space="0" w:color="auto"/>
            </w:tcBorders>
          </w:tcPr>
          <w:p w14:paraId="35EA8D18" w14:textId="77777777" w:rsidR="005904DD" w:rsidRPr="00A114DB" w:rsidRDefault="005904DD" w:rsidP="005904DD">
            <w:pPr>
              <w:autoSpaceDE w:val="0"/>
              <w:autoSpaceDN w:val="0"/>
              <w:adjustRightInd w:val="0"/>
              <w:spacing w:after="0" w:line="240" w:lineRule="auto"/>
              <w:jc w:val="center"/>
              <w:rPr>
                <w:rFonts w:ascii="Calibri" w:hAnsi="Calibri" w:cs="Calibri"/>
                <w:b/>
                <w:color w:val="000000"/>
              </w:rPr>
            </w:pPr>
            <w:r w:rsidRPr="00A114DB">
              <w:rPr>
                <w:rFonts w:ascii="Calibri" w:hAnsi="Calibri" w:cs="Calibri"/>
                <w:b/>
                <w:color w:val="000000"/>
              </w:rPr>
              <w:t>Total</w:t>
            </w:r>
          </w:p>
        </w:tc>
        <w:tc>
          <w:tcPr>
            <w:tcW w:w="1397" w:type="dxa"/>
            <w:tcBorders>
              <w:top w:val="nil"/>
              <w:left w:val="nil"/>
              <w:bottom w:val="single" w:sz="12" w:space="0" w:color="auto"/>
              <w:right w:val="single" w:sz="12" w:space="0" w:color="auto"/>
            </w:tcBorders>
          </w:tcPr>
          <w:p w14:paraId="0233AFC2" w14:textId="77777777" w:rsidR="005904DD" w:rsidRPr="005904DD" w:rsidRDefault="005904DD" w:rsidP="005904DD">
            <w:pPr>
              <w:autoSpaceDE w:val="0"/>
              <w:autoSpaceDN w:val="0"/>
              <w:adjustRightInd w:val="0"/>
              <w:spacing w:after="0" w:line="240" w:lineRule="auto"/>
              <w:jc w:val="center"/>
              <w:rPr>
                <w:rFonts w:ascii="Calibri" w:hAnsi="Calibri" w:cs="Calibri"/>
                <w:b/>
                <w:color w:val="000000"/>
              </w:rPr>
            </w:pPr>
            <w:r w:rsidRPr="005904DD">
              <w:rPr>
                <w:rFonts w:ascii="Calibri" w:hAnsi="Calibri" w:cs="Calibri"/>
                <w:b/>
                <w:color w:val="000000"/>
              </w:rPr>
              <w:t>7885</w:t>
            </w:r>
          </w:p>
        </w:tc>
        <w:tc>
          <w:tcPr>
            <w:tcW w:w="1397" w:type="dxa"/>
            <w:tcBorders>
              <w:top w:val="nil"/>
              <w:left w:val="nil"/>
              <w:bottom w:val="single" w:sz="12" w:space="0" w:color="auto"/>
              <w:right w:val="nil"/>
            </w:tcBorders>
          </w:tcPr>
          <w:p w14:paraId="13EA5762" w14:textId="77777777" w:rsidR="005904DD" w:rsidRPr="005904DD" w:rsidRDefault="005904DD" w:rsidP="005904DD">
            <w:pPr>
              <w:autoSpaceDE w:val="0"/>
              <w:autoSpaceDN w:val="0"/>
              <w:adjustRightInd w:val="0"/>
              <w:spacing w:after="0" w:line="240" w:lineRule="auto"/>
              <w:jc w:val="center"/>
              <w:rPr>
                <w:rFonts w:ascii="Calibri" w:hAnsi="Calibri" w:cs="Calibri"/>
                <w:b/>
                <w:color w:val="000000"/>
              </w:rPr>
            </w:pPr>
            <w:r w:rsidRPr="005904DD">
              <w:rPr>
                <w:rFonts w:ascii="Calibri" w:hAnsi="Calibri" w:cs="Calibri"/>
                <w:b/>
                <w:color w:val="000000"/>
              </w:rPr>
              <w:t>1289</w:t>
            </w:r>
          </w:p>
        </w:tc>
        <w:tc>
          <w:tcPr>
            <w:tcW w:w="964" w:type="dxa"/>
            <w:tcBorders>
              <w:top w:val="single" w:sz="12" w:space="0" w:color="auto"/>
              <w:left w:val="single" w:sz="12" w:space="0" w:color="auto"/>
              <w:bottom w:val="single" w:sz="12" w:space="0" w:color="auto"/>
              <w:right w:val="single" w:sz="12" w:space="0" w:color="auto"/>
            </w:tcBorders>
          </w:tcPr>
          <w:p w14:paraId="2026FD08" w14:textId="77777777" w:rsidR="005904DD" w:rsidRPr="005904DD" w:rsidRDefault="005904DD" w:rsidP="005904DD">
            <w:pPr>
              <w:autoSpaceDE w:val="0"/>
              <w:autoSpaceDN w:val="0"/>
              <w:adjustRightInd w:val="0"/>
              <w:spacing w:after="0" w:line="240" w:lineRule="auto"/>
              <w:jc w:val="center"/>
              <w:rPr>
                <w:rFonts w:ascii="Arial" w:hAnsi="Arial" w:cs="Arial"/>
                <w:b/>
                <w:color w:val="000000"/>
                <w:sz w:val="20"/>
                <w:szCs w:val="20"/>
              </w:rPr>
            </w:pPr>
            <w:r w:rsidRPr="005904DD">
              <w:rPr>
                <w:rFonts w:ascii="Arial" w:hAnsi="Arial" w:cs="Arial"/>
                <w:b/>
                <w:color w:val="000000"/>
                <w:sz w:val="20"/>
                <w:szCs w:val="20"/>
              </w:rPr>
              <w:t>16.3%</w:t>
            </w:r>
          </w:p>
        </w:tc>
        <w:tc>
          <w:tcPr>
            <w:tcW w:w="965" w:type="dxa"/>
            <w:tcBorders>
              <w:top w:val="single" w:sz="12" w:space="0" w:color="auto"/>
              <w:left w:val="single" w:sz="12" w:space="0" w:color="auto"/>
              <w:bottom w:val="single" w:sz="12" w:space="0" w:color="auto"/>
              <w:right w:val="single" w:sz="12" w:space="0" w:color="auto"/>
            </w:tcBorders>
          </w:tcPr>
          <w:p w14:paraId="12C5EFC1" w14:textId="77777777" w:rsidR="005904DD" w:rsidRPr="005904DD" w:rsidRDefault="005904DD" w:rsidP="005904DD">
            <w:pPr>
              <w:autoSpaceDE w:val="0"/>
              <w:autoSpaceDN w:val="0"/>
              <w:adjustRightInd w:val="0"/>
              <w:spacing w:after="0" w:line="240" w:lineRule="auto"/>
              <w:jc w:val="center"/>
              <w:rPr>
                <w:rFonts w:ascii="Arial" w:hAnsi="Arial" w:cs="Arial"/>
                <w:b/>
                <w:color w:val="000000"/>
                <w:sz w:val="20"/>
                <w:szCs w:val="20"/>
              </w:rPr>
            </w:pPr>
            <w:r w:rsidRPr="005904DD">
              <w:rPr>
                <w:rFonts w:ascii="Arial" w:hAnsi="Arial" w:cs="Arial"/>
                <w:b/>
                <w:color w:val="000000"/>
                <w:sz w:val="20"/>
                <w:szCs w:val="20"/>
              </w:rPr>
              <w:t>74.8%</w:t>
            </w:r>
          </w:p>
        </w:tc>
      </w:tr>
      <w:tr w:rsidR="005904DD" w14:paraId="7C9D3D39" w14:textId="77777777" w:rsidTr="00424EB2">
        <w:trPr>
          <w:trHeight w:val="298"/>
        </w:trPr>
        <w:tc>
          <w:tcPr>
            <w:tcW w:w="1728" w:type="dxa"/>
            <w:tcBorders>
              <w:top w:val="single" w:sz="12" w:space="0" w:color="auto"/>
              <w:left w:val="nil"/>
              <w:bottom w:val="single" w:sz="12" w:space="0" w:color="auto"/>
              <w:right w:val="nil"/>
            </w:tcBorders>
          </w:tcPr>
          <w:p w14:paraId="58306B96" w14:textId="77777777" w:rsidR="005904DD" w:rsidRDefault="005904DD" w:rsidP="005904D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Ealing Common</w:t>
            </w:r>
          </w:p>
        </w:tc>
        <w:tc>
          <w:tcPr>
            <w:tcW w:w="1397" w:type="dxa"/>
            <w:tcBorders>
              <w:top w:val="single" w:sz="12" w:space="0" w:color="auto"/>
              <w:left w:val="nil"/>
              <w:bottom w:val="single" w:sz="12" w:space="0" w:color="auto"/>
              <w:right w:val="nil"/>
            </w:tcBorders>
          </w:tcPr>
          <w:p w14:paraId="549C301C" w14:textId="77777777" w:rsidR="005904DD" w:rsidRDefault="005904DD" w:rsidP="005904DD">
            <w:pPr>
              <w:autoSpaceDE w:val="0"/>
              <w:autoSpaceDN w:val="0"/>
              <w:adjustRightInd w:val="0"/>
              <w:spacing w:after="0" w:line="240" w:lineRule="auto"/>
              <w:jc w:val="center"/>
              <w:rPr>
                <w:rFonts w:ascii="Calibri" w:hAnsi="Calibri" w:cs="Calibri"/>
                <w:color w:val="000000"/>
              </w:rPr>
            </w:pPr>
          </w:p>
        </w:tc>
        <w:tc>
          <w:tcPr>
            <w:tcW w:w="1397" w:type="dxa"/>
            <w:tcBorders>
              <w:top w:val="single" w:sz="12" w:space="0" w:color="auto"/>
              <w:left w:val="nil"/>
              <w:bottom w:val="single" w:sz="12" w:space="0" w:color="auto"/>
              <w:right w:val="single" w:sz="4" w:space="0" w:color="auto"/>
            </w:tcBorders>
          </w:tcPr>
          <w:p w14:paraId="06EE7B1E" w14:textId="77777777" w:rsidR="005904DD" w:rsidRDefault="005904DD" w:rsidP="005904DD">
            <w:pPr>
              <w:autoSpaceDE w:val="0"/>
              <w:autoSpaceDN w:val="0"/>
              <w:adjustRightInd w:val="0"/>
              <w:spacing w:after="0" w:line="240" w:lineRule="auto"/>
              <w:jc w:val="center"/>
              <w:rPr>
                <w:rFonts w:ascii="Calibri" w:hAnsi="Calibri" w:cs="Calibri"/>
                <w:color w:val="000000"/>
              </w:rPr>
            </w:pPr>
          </w:p>
        </w:tc>
        <w:tc>
          <w:tcPr>
            <w:tcW w:w="964" w:type="dxa"/>
            <w:tcBorders>
              <w:top w:val="single" w:sz="12" w:space="0" w:color="auto"/>
              <w:left w:val="single" w:sz="4" w:space="0" w:color="auto"/>
              <w:bottom w:val="single" w:sz="12" w:space="0" w:color="auto"/>
              <w:right w:val="single" w:sz="4" w:space="0" w:color="auto"/>
            </w:tcBorders>
          </w:tcPr>
          <w:p w14:paraId="05F5D251" w14:textId="77777777" w:rsidR="005904DD" w:rsidRDefault="005904DD" w:rsidP="005904DD">
            <w:pPr>
              <w:autoSpaceDE w:val="0"/>
              <w:autoSpaceDN w:val="0"/>
              <w:adjustRightInd w:val="0"/>
              <w:spacing w:after="0" w:line="240" w:lineRule="auto"/>
              <w:jc w:val="center"/>
              <w:rPr>
                <w:rFonts w:ascii="Arial" w:hAnsi="Arial" w:cs="Arial"/>
                <w:color w:val="000000"/>
                <w:sz w:val="20"/>
                <w:szCs w:val="20"/>
              </w:rPr>
            </w:pPr>
          </w:p>
        </w:tc>
        <w:tc>
          <w:tcPr>
            <w:tcW w:w="965" w:type="dxa"/>
            <w:tcBorders>
              <w:top w:val="single" w:sz="12" w:space="0" w:color="auto"/>
              <w:left w:val="single" w:sz="4" w:space="0" w:color="auto"/>
              <w:bottom w:val="single" w:sz="12" w:space="0" w:color="auto"/>
              <w:right w:val="single" w:sz="4" w:space="0" w:color="auto"/>
            </w:tcBorders>
          </w:tcPr>
          <w:p w14:paraId="42922B8B" w14:textId="77777777" w:rsidR="005904DD" w:rsidRDefault="005904DD" w:rsidP="005904DD">
            <w:pPr>
              <w:autoSpaceDE w:val="0"/>
              <w:autoSpaceDN w:val="0"/>
              <w:adjustRightInd w:val="0"/>
              <w:spacing w:after="0" w:line="240" w:lineRule="auto"/>
              <w:jc w:val="center"/>
              <w:rPr>
                <w:rFonts w:ascii="Arial" w:hAnsi="Arial" w:cs="Arial"/>
                <w:color w:val="000000"/>
                <w:sz w:val="20"/>
                <w:szCs w:val="20"/>
              </w:rPr>
            </w:pPr>
          </w:p>
        </w:tc>
      </w:tr>
      <w:tr w:rsidR="005904DD" w14:paraId="03E6EBCF" w14:textId="77777777" w:rsidTr="00424EB2">
        <w:trPr>
          <w:trHeight w:val="298"/>
        </w:trPr>
        <w:tc>
          <w:tcPr>
            <w:tcW w:w="1728" w:type="dxa"/>
            <w:tcBorders>
              <w:top w:val="nil"/>
              <w:left w:val="single" w:sz="12" w:space="0" w:color="auto"/>
              <w:bottom w:val="single" w:sz="12" w:space="0" w:color="auto"/>
              <w:right w:val="single" w:sz="12" w:space="0" w:color="auto"/>
            </w:tcBorders>
          </w:tcPr>
          <w:p w14:paraId="3742A9B8" w14:textId="05023595" w:rsidR="005904DD" w:rsidRDefault="005904DD" w:rsidP="005904D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EC</w:t>
            </w:r>
            <w:r w:rsidR="00724AE0">
              <w:rPr>
                <w:rFonts w:ascii="Calibri" w:hAnsi="Calibri" w:cs="Calibri"/>
                <w:color w:val="000000"/>
              </w:rPr>
              <w:t>A</w:t>
            </w:r>
          </w:p>
        </w:tc>
        <w:tc>
          <w:tcPr>
            <w:tcW w:w="1397" w:type="dxa"/>
            <w:tcBorders>
              <w:top w:val="nil"/>
              <w:left w:val="nil"/>
              <w:bottom w:val="single" w:sz="12" w:space="0" w:color="auto"/>
              <w:right w:val="single" w:sz="12" w:space="0" w:color="auto"/>
            </w:tcBorders>
          </w:tcPr>
          <w:p w14:paraId="1375D4FC" w14:textId="77777777" w:rsidR="005904DD" w:rsidRDefault="005904DD" w:rsidP="005904D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2383</w:t>
            </w:r>
          </w:p>
        </w:tc>
        <w:tc>
          <w:tcPr>
            <w:tcW w:w="1397" w:type="dxa"/>
            <w:tcBorders>
              <w:top w:val="nil"/>
              <w:left w:val="nil"/>
              <w:bottom w:val="single" w:sz="12" w:space="0" w:color="auto"/>
              <w:right w:val="nil"/>
            </w:tcBorders>
          </w:tcPr>
          <w:p w14:paraId="2A78728F" w14:textId="77777777" w:rsidR="005904DD" w:rsidRDefault="005904DD" w:rsidP="005904D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117</w:t>
            </w:r>
          </w:p>
        </w:tc>
        <w:tc>
          <w:tcPr>
            <w:tcW w:w="964" w:type="dxa"/>
            <w:tcBorders>
              <w:top w:val="single" w:sz="12" w:space="0" w:color="auto"/>
              <w:left w:val="single" w:sz="12" w:space="0" w:color="auto"/>
              <w:bottom w:val="single" w:sz="12" w:space="0" w:color="auto"/>
              <w:right w:val="single" w:sz="12" w:space="0" w:color="auto"/>
            </w:tcBorders>
          </w:tcPr>
          <w:p w14:paraId="69CF9577" w14:textId="77777777" w:rsidR="005904DD" w:rsidRDefault="005904DD" w:rsidP="005904DD">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4.9%</w:t>
            </w:r>
          </w:p>
        </w:tc>
        <w:tc>
          <w:tcPr>
            <w:tcW w:w="965" w:type="dxa"/>
            <w:tcBorders>
              <w:top w:val="single" w:sz="12" w:space="0" w:color="auto"/>
              <w:left w:val="single" w:sz="12" w:space="0" w:color="auto"/>
              <w:bottom w:val="single" w:sz="12" w:space="0" w:color="auto"/>
              <w:right w:val="single" w:sz="12" w:space="0" w:color="auto"/>
            </w:tcBorders>
          </w:tcPr>
          <w:p w14:paraId="5BA5D4F0" w14:textId="77777777" w:rsidR="005904DD" w:rsidRDefault="005904DD" w:rsidP="005904DD">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6.8%</w:t>
            </w:r>
          </w:p>
        </w:tc>
      </w:tr>
      <w:tr w:rsidR="005904DD" w14:paraId="03BAB4E3" w14:textId="77777777">
        <w:trPr>
          <w:trHeight w:val="298"/>
        </w:trPr>
        <w:tc>
          <w:tcPr>
            <w:tcW w:w="1728" w:type="dxa"/>
            <w:tcBorders>
              <w:top w:val="nil"/>
              <w:left w:val="single" w:sz="12" w:space="0" w:color="auto"/>
              <w:bottom w:val="single" w:sz="12" w:space="0" w:color="auto"/>
              <w:right w:val="single" w:sz="12" w:space="0" w:color="auto"/>
            </w:tcBorders>
          </w:tcPr>
          <w:p w14:paraId="4CF117E6" w14:textId="77777777" w:rsidR="005904DD" w:rsidRDefault="005904DD" w:rsidP="005904D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EF</w:t>
            </w:r>
          </w:p>
        </w:tc>
        <w:tc>
          <w:tcPr>
            <w:tcW w:w="1397" w:type="dxa"/>
            <w:tcBorders>
              <w:top w:val="nil"/>
              <w:left w:val="nil"/>
              <w:bottom w:val="single" w:sz="12" w:space="0" w:color="auto"/>
              <w:right w:val="single" w:sz="12" w:space="0" w:color="auto"/>
            </w:tcBorders>
          </w:tcPr>
          <w:p w14:paraId="582EB921" w14:textId="77777777" w:rsidR="005904DD" w:rsidRDefault="005904DD" w:rsidP="005904D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1516</w:t>
            </w:r>
          </w:p>
        </w:tc>
        <w:tc>
          <w:tcPr>
            <w:tcW w:w="1397" w:type="dxa"/>
            <w:tcBorders>
              <w:top w:val="nil"/>
              <w:left w:val="nil"/>
              <w:bottom w:val="single" w:sz="12" w:space="0" w:color="auto"/>
              <w:right w:val="nil"/>
            </w:tcBorders>
          </w:tcPr>
          <w:p w14:paraId="13811A62" w14:textId="77777777" w:rsidR="005904DD" w:rsidRDefault="005904DD" w:rsidP="005904D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91</w:t>
            </w:r>
          </w:p>
        </w:tc>
        <w:tc>
          <w:tcPr>
            <w:tcW w:w="964" w:type="dxa"/>
            <w:tcBorders>
              <w:top w:val="single" w:sz="12" w:space="0" w:color="auto"/>
              <w:left w:val="single" w:sz="12" w:space="0" w:color="auto"/>
              <w:bottom w:val="single" w:sz="12" w:space="0" w:color="auto"/>
              <w:right w:val="single" w:sz="12" w:space="0" w:color="auto"/>
            </w:tcBorders>
          </w:tcPr>
          <w:p w14:paraId="5ADDCA96" w14:textId="77777777" w:rsidR="005904DD" w:rsidRDefault="005904DD" w:rsidP="005904DD">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6.0%</w:t>
            </w:r>
          </w:p>
        </w:tc>
        <w:tc>
          <w:tcPr>
            <w:tcW w:w="965" w:type="dxa"/>
            <w:tcBorders>
              <w:top w:val="single" w:sz="12" w:space="0" w:color="auto"/>
              <w:left w:val="single" w:sz="12" w:space="0" w:color="auto"/>
              <w:bottom w:val="single" w:sz="12" w:space="0" w:color="auto"/>
              <w:right w:val="single" w:sz="12" w:space="0" w:color="auto"/>
            </w:tcBorders>
          </w:tcPr>
          <w:p w14:paraId="09B1C40C" w14:textId="77777777" w:rsidR="005904DD" w:rsidRDefault="005904DD" w:rsidP="005904DD">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5.3%</w:t>
            </w:r>
          </w:p>
        </w:tc>
      </w:tr>
      <w:tr w:rsidR="005904DD" w14:paraId="4909CE16" w14:textId="77777777">
        <w:trPr>
          <w:trHeight w:val="298"/>
        </w:trPr>
        <w:tc>
          <w:tcPr>
            <w:tcW w:w="1728" w:type="dxa"/>
            <w:tcBorders>
              <w:top w:val="nil"/>
              <w:left w:val="single" w:sz="12" w:space="0" w:color="auto"/>
              <w:bottom w:val="single" w:sz="12" w:space="0" w:color="auto"/>
              <w:right w:val="single" w:sz="12" w:space="0" w:color="auto"/>
            </w:tcBorders>
          </w:tcPr>
          <w:p w14:paraId="2CBA289B" w14:textId="77777777" w:rsidR="005904DD" w:rsidRPr="005904DD" w:rsidRDefault="005904DD" w:rsidP="005904DD">
            <w:pPr>
              <w:autoSpaceDE w:val="0"/>
              <w:autoSpaceDN w:val="0"/>
              <w:adjustRightInd w:val="0"/>
              <w:spacing w:after="0" w:line="240" w:lineRule="auto"/>
              <w:jc w:val="center"/>
              <w:rPr>
                <w:rFonts w:ascii="Calibri" w:hAnsi="Calibri" w:cs="Calibri"/>
                <w:b/>
                <w:color w:val="000000"/>
              </w:rPr>
            </w:pPr>
            <w:r w:rsidRPr="005904DD">
              <w:rPr>
                <w:rFonts w:ascii="Calibri" w:hAnsi="Calibri" w:cs="Calibri"/>
                <w:b/>
                <w:color w:val="000000"/>
              </w:rPr>
              <w:t>Total</w:t>
            </w:r>
          </w:p>
        </w:tc>
        <w:tc>
          <w:tcPr>
            <w:tcW w:w="1397" w:type="dxa"/>
            <w:tcBorders>
              <w:top w:val="single" w:sz="12" w:space="0" w:color="auto"/>
              <w:left w:val="single" w:sz="12" w:space="0" w:color="auto"/>
              <w:bottom w:val="single" w:sz="12" w:space="0" w:color="auto"/>
              <w:right w:val="single" w:sz="12" w:space="0" w:color="auto"/>
            </w:tcBorders>
          </w:tcPr>
          <w:p w14:paraId="7CB4885D" w14:textId="77777777" w:rsidR="005904DD" w:rsidRPr="005904DD" w:rsidRDefault="005904DD" w:rsidP="005904DD">
            <w:pPr>
              <w:autoSpaceDE w:val="0"/>
              <w:autoSpaceDN w:val="0"/>
              <w:adjustRightInd w:val="0"/>
              <w:spacing w:after="0" w:line="240" w:lineRule="auto"/>
              <w:jc w:val="center"/>
              <w:rPr>
                <w:rFonts w:ascii="Calibri" w:hAnsi="Calibri" w:cs="Calibri"/>
                <w:b/>
                <w:color w:val="000000"/>
              </w:rPr>
            </w:pPr>
            <w:r w:rsidRPr="005904DD">
              <w:rPr>
                <w:rFonts w:ascii="Calibri" w:hAnsi="Calibri" w:cs="Calibri"/>
                <w:b/>
                <w:color w:val="000000"/>
              </w:rPr>
              <w:t>3899</w:t>
            </w:r>
          </w:p>
        </w:tc>
        <w:tc>
          <w:tcPr>
            <w:tcW w:w="1397" w:type="dxa"/>
            <w:tcBorders>
              <w:top w:val="single" w:sz="12" w:space="0" w:color="auto"/>
              <w:left w:val="single" w:sz="12" w:space="0" w:color="auto"/>
              <w:bottom w:val="single" w:sz="12" w:space="0" w:color="auto"/>
              <w:right w:val="nil"/>
            </w:tcBorders>
          </w:tcPr>
          <w:p w14:paraId="34E0519F" w14:textId="77777777" w:rsidR="005904DD" w:rsidRPr="005904DD" w:rsidRDefault="005904DD" w:rsidP="005904DD">
            <w:pPr>
              <w:autoSpaceDE w:val="0"/>
              <w:autoSpaceDN w:val="0"/>
              <w:adjustRightInd w:val="0"/>
              <w:spacing w:after="0" w:line="240" w:lineRule="auto"/>
              <w:jc w:val="center"/>
              <w:rPr>
                <w:rFonts w:ascii="Calibri" w:hAnsi="Calibri" w:cs="Calibri"/>
                <w:b/>
                <w:color w:val="000000"/>
              </w:rPr>
            </w:pPr>
            <w:r w:rsidRPr="005904DD">
              <w:rPr>
                <w:rFonts w:ascii="Calibri" w:hAnsi="Calibri" w:cs="Calibri"/>
                <w:b/>
                <w:color w:val="000000"/>
              </w:rPr>
              <w:t>208</w:t>
            </w:r>
          </w:p>
        </w:tc>
        <w:tc>
          <w:tcPr>
            <w:tcW w:w="964" w:type="dxa"/>
            <w:tcBorders>
              <w:top w:val="single" w:sz="12" w:space="0" w:color="auto"/>
              <w:left w:val="single" w:sz="12" w:space="0" w:color="auto"/>
              <w:bottom w:val="single" w:sz="12" w:space="0" w:color="auto"/>
              <w:right w:val="single" w:sz="12" w:space="0" w:color="auto"/>
            </w:tcBorders>
          </w:tcPr>
          <w:p w14:paraId="1CA801BA" w14:textId="77777777" w:rsidR="005904DD" w:rsidRPr="005904DD" w:rsidRDefault="005904DD" w:rsidP="005904DD">
            <w:pPr>
              <w:autoSpaceDE w:val="0"/>
              <w:autoSpaceDN w:val="0"/>
              <w:adjustRightInd w:val="0"/>
              <w:spacing w:after="0" w:line="240" w:lineRule="auto"/>
              <w:jc w:val="center"/>
              <w:rPr>
                <w:rFonts w:ascii="Arial" w:hAnsi="Arial" w:cs="Arial"/>
                <w:b/>
                <w:color w:val="000000"/>
                <w:sz w:val="20"/>
                <w:szCs w:val="20"/>
              </w:rPr>
            </w:pPr>
            <w:r w:rsidRPr="005904DD">
              <w:rPr>
                <w:rFonts w:ascii="Arial" w:hAnsi="Arial" w:cs="Arial"/>
                <w:b/>
                <w:color w:val="000000"/>
                <w:sz w:val="20"/>
                <w:szCs w:val="20"/>
              </w:rPr>
              <w:t>5.3%</w:t>
            </w:r>
          </w:p>
        </w:tc>
        <w:tc>
          <w:tcPr>
            <w:tcW w:w="965" w:type="dxa"/>
            <w:tcBorders>
              <w:top w:val="single" w:sz="12" w:space="0" w:color="auto"/>
              <w:left w:val="single" w:sz="12" w:space="0" w:color="auto"/>
              <w:bottom w:val="single" w:sz="12" w:space="0" w:color="auto"/>
              <w:right w:val="single" w:sz="12" w:space="0" w:color="auto"/>
            </w:tcBorders>
          </w:tcPr>
          <w:p w14:paraId="7457028D" w14:textId="77777777" w:rsidR="005904DD" w:rsidRPr="005904DD" w:rsidRDefault="005904DD" w:rsidP="005904DD">
            <w:pPr>
              <w:autoSpaceDE w:val="0"/>
              <w:autoSpaceDN w:val="0"/>
              <w:adjustRightInd w:val="0"/>
              <w:spacing w:after="0" w:line="240" w:lineRule="auto"/>
              <w:jc w:val="center"/>
              <w:rPr>
                <w:rFonts w:ascii="Arial" w:hAnsi="Arial" w:cs="Arial"/>
                <w:b/>
                <w:color w:val="000000"/>
                <w:sz w:val="20"/>
                <w:szCs w:val="20"/>
              </w:rPr>
            </w:pPr>
            <w:r w:rsidRPr="005904DD">
              <w:rPr>
                <w:rFonts w:ascii="Arial" w:hAnsi="Arial" w:cs="Arial"/>
                <w:b/>
                <w:color w:val="000000"/>
                <w:sz w:val="20"/>
                <w:szCs w:val="20"/>
              </w:rPr>
              <w:t>12.1%</w:t>
            </w:r>
          </w:p>
        </w:tc>
      </w:tr>
      <w:tr w:rsidR="005904DD" w14:paraId="5FABAD60" w14:textId="77777777">
        <w:trPr>
          <w:trHeight w:val="298"/>
        </w:trPr>
        <w:tc>
          <w:tcPr>
            <w:tcW w:w="1728" w:type="dxa"/>
            <w:tcBorders>
              <w:top w:val="single" w:sz="12" w:space="0" w:color="auto"/>
              <w:left w:val="nil"/>
              <w:bottom w:val="single" w:sz="12" w:space="0" w:color="auto"/>
              <w:right w:val="nil"/>
            </w:tcBorders>
          </w:tcPr>
          <w:p w14:paraId="18340D5E" w14:textId="77777777" w:rsidR="005904DD" w:rsidRDefault="005904DD" w:rsidP="005904D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Walpole</w:t>
            </w:r>
          </w:p>
        </w:tc>
        <w:tc>
          <w:tcPr>
            <w:tcW w:w="1397" w:type="dxa"/>
            <w:tcBorders>
              <w:top w:val="single" w:sz="12" w:space="0" w:color="auto"/>
              <w:left w:val="nil"/>
              <w:bottom w:val="single" w:sz="12" w:space="0" w:color="auto"/>
              <w:right w:val="nil"/>
            </w:tcBorders>
          </w:tcPr>
          <w:p w14:paraId="1FF18DCA" w14:textId="77777777" w:rsidR="005904DD" w:rsidRDefault="005904DD" w:rsidP="005904DD">
            <w:pPr>
              <w:autoSpaceDE w:val="0"/>
              <w:autoSpaceDN w:val="0"/>
              <w:adjustRightInd w:val="0"/>
              <w:spacing w:after="0" w:line="240" w:lineRule="auto"/>
              <w:jc w:val="center"/>
              <w:rPr>
                <w:rFonts w:ascii="Calibri" w:hAnsi="Calibri" w:cs="Calibri"/>
                <w:color w:val="000000"/>
              </w:rPr>
            </w:pPr>
          </w:p>
        </w:tc>
        <w:tc>
          <w:tcPr>
            <w:tcW w:w="1397" w:type="dxa"/>
            <w:tcBorders>
              <w:top w:val="single" w:sz="12" w:space="0" w:color="auto"/>
              <w:left w:val="nil"/>
              <w:bottom w:val="single" w:sz="12" w:space="0" w:color="auto"/>
              <w:right w:val="nil"/>
            </w:tcBorders>
          </w:tcPr>
          <w:p w14:paraId="10D95288" w14:textId="77777777" w:rsidR="005904DD" w:rsidRDefault="005904DD" w:rsidP="005904DD">
            <w:pPr>
              <w:autoSpaceDE w:val="0"/>
              <w:autoSpaceDN w:val="0"/>
              <w:adjustRightInd w:val="0"/>
              <w:spacing w:after="0" w:line="240" w:lineRule="auto"/>
              <w:jc w:val="center"/>
              <w:rPr>
                <w:rFonts w:ascii="Calibri" w:hAnsi="Calibri" w:cs="Calibri"/>
                <w:color w:val="000000"/>
              </w:rPr>
            </w:pPr>
          </w:p>
        </w:tc>
        <w:tc>
          <w:tcPr>
            <w:tcW w:w="964" w:type="dxa"/>
            <w:tcBorders>
              <w:top w:val="nil"/>
              <w:left w:val="single" w:sz="6" w:space="0" w:color="auto"/>
              <w:bottom w:val="nil"/>
              <w:right w:val="nil"/>
            </w:tcBorders>
          </w:tcPr>
          <w:p w14:paraId="7C3FDE34" w14:textId="77777777" w:rsidR="005904DD" w:rsidRDefault="005904DD" w:rsidP="005904DD">
            <w:pPr>
              <w:autoSpaceDE w:val="0"/>
              <w:autoSpaceDN w:val="0"/>
              <w:adjustRightInd w:val="0"/>
              <w:spacing w:after="0" w:line="240" w:lineRule="auto"/>
              <w:jc w:val="center"/>
              <w:rPr>
                <w:rFonts w:ascii="Arial" w:hAnsi="Arial" w:cs="Arial"/>
                <w:color w:val="000000"/>
                <w:sz w:val="20"/>
                <w:szCs w:val="20"/>
              </w:rPr>
            </w:pPr>
          </w:p>
        </w:tc>
        <w:tc>
          <w:tcPr>
            <w:tcW w:w="965" w:type="dxa"/>
            <w:tcBorders>
              <w:top w:val="nil"/>
              <w:left w:val="nil"/>
              <w:bottom w:val="nil"/>
              <w:right w:val="single" w:sz="6" w:space="0" w:color="auto"/>
            </w:tcBorders>
          </w:tcPr>
          <w:p w14:paraId="393C76F0" w14:textId="77777777" w:rsidR="005904DD" w:rsidRDefault="005904DD" w:rsidP="005904DD">
            <w:pPr>
              <w:autoSpaceDE w:val="0"/>
              <w:autoSpaceDN w:val="0"/>
              <w:adjustRightInd w:val="0"/>
              <w:spacing w:after="0" w:line="240" w:lineRule="auto"/>
              <w:jc w:val="center"/>
              <w:rPr>
                <w:rFonts w:ascii="Arial" w:hAnsi="Arial" w:cs="Arial"/>
                <w:color w:val="000000"/>
                <w:sz w:val="20"/>
                <w:szCs w:val="20"/>
              </w:rPr>
            </w:pPr>
          </w:p>
        </w:tc>
      </w:tr>
      <w:tr w:rsidR="005904DD" w14:paraId="4D342050" w14:textId="77777777">
        <w:trPr>
          <w:trHeight w:val="298"/>
        </w:trPr>
        <w:tc>
          <w:tcPr>
            <w:tcW w:w="1728" w:type="dxa"/>
            <w:tcBorders>
              <w:top w:val="nil"/>
              <w:left w:val="single" w:sz="12" w:space="0" w:color="auto"/>
              <w:bottom w:val="single" w:sz="12" w:space="0" w:color="auto"/>
              <w:right w:val="single" w:sz="12" w:space="0" w:color="auto"/>
            </w:tcBorders>
          </w:tcPr>
          <w:p w14:paraId="5827340F" w14:textId="77777777" w:rsidR="005904DD" w:rsidRDefault="005904DD" w:rsidP="005904D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VA</w:t>
            </w:r>
          </w:p>
        </w:tc>
        <w:tc>
          <w:tcPr>
            <w:tcW w:w="1397" w:type="dxa"/>
            <w:tcBorders>
              <w:top w:val="nil"/>
              <w:left w:val="nil"/>
              <w:bottom w:val="single" w:sz="12" w:space="0" w:color="auto"/>
              <w:right w:val="single" w:sz="12" w:space="0" w:color="auto"/>
            </w:tcBorders>
          </w:tcPr>
          <w:p w14:paraId="73050AC6" w14:textId="77777777" w:rsidR="005904DD" w:rsidRDefault="005904DD" w:rsidP="005904D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2146</w:t>
            </w:r>
          </w:p>
        </w:tc>
        <w:tc>
          <w:tcPr>
            <w:tcW w:w="1397" w:type="dxa"/>
            <w:tcBorders>
              <w:top w:val="nil"/>
              <w:left w:val="nil"/>
              <w:bottom w:val="single" w:sz="12" w:space="0" w:color="auto"/>
              <w:right w:val="nil"/>
            </w:tcBorders>
          </w:tcPr>
          <w:p w14:paraId="237B3A47" w14:textId="77777777" w:rsidR="005904DD" w:rsidRDefault="005904DD" w:rsidP="005904D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184</w:t>
            </w:r>
          </w:p>
        </w:tc>
        <w:tc>
          <w:tcPr>
            <w:tcW w:w="964" w:type="dxa"/>
            <w:tcBorders>
              <w:top w:val="single" w:sz="12" w:space="0" w:color="auto"/>
              <w:left w:val="single" w:sz="12" w:space="0" w:color="auto"/>
              <w:bottom w:val="single" w:sz="12" w:space="0" w:color="auto"/>
              <w:right w:val="single" w:sz="12" w:space="0" w:color="auto"/>
            </w:tcBorders>
          </w:tcPr>
          <w:p w14:paraId="49778272" w14:textId="77777777" w:rsidR="005904DD" w:rsidRDefault="005904DD" w:rsidP="005904DD">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8.6%</w:t>
            </w:r>
          </w:p>
        </w:tc>
        <w:tc>
          <w:tcPr>
            <w:tcW w:w="965" w:type="dxa"/>
            <w:tcBorders>
              <w:top w:val="single" w:sz="12" w:space="0" w:color="auto"/>
              <w:left w:val="single" w:sz="12" w:space="0" w:color="auto"/>
              <w:bottom w:val="single" w:sz="12" w:space="0" w:color="auto"/>
              <w:right w:val="single" w:sz="12" w:space="0" w:color="auto"/>
            </w:tcBorders>
          </w:tcPr>
          <w:p w14:paraId="08D4224A" w14:textId="77777777" w:rsidR="005904DD" w:rsidRDefault="005904DD" w:rsidP="005904DD">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10.7%</w:t>
            </w:r>
          </w:p>
        </w:tc>
      </w:tr>
      <w:tr w:rsidR="005904DD" w14:paraId="50E0CCE3" w14:textId="77777777">
        <w:trPr>
          <w:trHeight w:val="298"/>
        </w:trPr>
        <w:tc>
          <w:tcPr>
            <w:tcW w:w="1728" w:type="dxa"/>
            <w:tcBorders>
              <w:top w:val="nil"/>
              <w:left w:val="single" w:sz="12" w:space="0" w:color="auto"/>
              <w:bottom w:val="single" w:sz="12" w:space="0" w:color="auto"/>
              <w:right w:val="single" w:sz="12" w:space="0" w:color="auto"/>
            </w:tcBorders>
          </w:tcPr>
          <w:p w14:paraId="63C87613" w14:textId="77777777" w:rsidR="005904DD" w:rsidRDefault="005904DD" w:rsidP="005904D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VB</w:t>
            </w:r>
          </w:p>
        </w:tc>
        <w:tc>
          <w:tcPr>
            <w:tcW w:w="1397" w:type="dxa"/>
            <w:tcBorders>
              <w:top w:val="nil"/>
              <w:left w:val="nil"/>
              <w:bottom w:val="single" w:sz="12" w:space="0" w:color="auto"/>
              <w:right w:val="single" w:sz="12" w:space="0" w:color="auto"/>
            </w:tcBorders>
          </w:tcPr>
          <w:p w14:paraId="1C66AF04" w14:textId="77777777" w:rsidR="005904DD" w:rsidRDefault="005904DD" w:rsidP="005904D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1327</w:t>
            </w:r>
          </w:p>
        </w:tc>
        <w:tc>
          <w:tcPr>
            <w:tcW w:w="1397" w:type="dxa"/>
            <w:tcBorders>
              <w:top w:val="nil"/>
              <w:left w:val="nil"/>
              <w:bottom w:val="single" w:sz="12" w:space="0" w:color="auto"/>
              <w:right w:val="nil"/>
            </w:tcBorders>
          </w:tcPr>
          <w:p w14:paraId="2A54E673" w14:textId="77777777" w:rsidR="005904DD" w:rsidRDefault="005904DD" w:rsidP="005904D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964" w:type="dxa"/>
            <w:tcBorders>
              <w:top w:val="single" w:sz="12" w:space="0" w:color="auto"/>
              <w:left w:val="single" w:sz="12" w:space="0" w:color="auto"/>
              <w:bottom w:val="single" w:sz="12" w:space="0" w:color="auto"/>
              <w:right w:val="single" w:sz="12" w:space="0" w:color="auto"/>
            </w:tcBorders>
          </w:tcPr>
          <w:p w14:paraId="161993E2" w14:textId="77777777" w:rsidR="005904DD" w:rsidRDefault="005904DD" w:rsidP="005904DD">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3.0%</w:t>
            </w:r>
          </w:p>
        </w:tc>
        <w:tc>
          <w:tcPr>
            <w:tcW w:w="965" w:type="dxa"/>
            <w:tcBorders>
              <w:top w:val="single" w:sz="12" w:space="0" w:color="auto"/>
              <w:left w:val="single" w:sz="12" w:space="0" w:color="auto"/>
              <w:bottom w:val="single" w:sz="12" w:space="0" w:color="auto"/>
              <w:right w:val="single" w:sz="12" w:space="0" w:color="auto"/>
            </w:tcBorders>
          </w:tcPr>
          <w:p w14:paraId="6E4B113A" w14:textId="77777777" w:rsidR="005904DD" w:rsidRDefault="005904DD" w:rsidP="005904DD">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2.3%</w:t>
            </w:r>
          </w:p>
        </w:tc>
      </w:tr>
      <w:tr w:rsidR="005904DD" w14:paraId="4657BC27" w14:textId="77777777">
        <w:trPr>
          <w:trHeight w:val="298"/>
        </w:trPr>
        <w:tc>
          <w:tcPr>
            <w:tcW w:w="1728" w:type="dxa"/>
            <w:tcBorders>
              <w:top w:val="nil"/>
              <w:left w:val="single" w:sz="12" w:space="0" w:color="auto"/>
              <w:bottom w:val="single" w:sz="12" w:space="0" w:color="auto"/>
              <w:right w:val="single" w:sz="12" w:space="0" w:color="auto"/>
            </w:tcBorders>
          </w:tcPr>
          <w:p w14:paraId="5B21132E" w14:textId="77777777" w:rsidR="005904DD" w:rsidRPr="005904DD" w:rsidRDefault="005904DD" w:rsidP="005904DD">
            <w:pPr>
              <w:autoSpaceDE w:val="0"/>
              <w:autoSpaceDN w:val="0"/>
              <w:adjustRightInd w:val="0"/>
              <w:spacing w:after="0" w:line="240" w:lineRule="auto"/>
              <w:jc w:val="center"/>
              <w:rPr>
                <w:rFonts w:ascii="Calibri" w:hAnsi="Calibri" w:cs="Calibri"/>
                <w:b/>
                <w:color w:val="000000"/>
              </w:rPr>
            </w:pPr>
            <w:r w:rsidRPr="005904DD">
              <w:rPr>
                <w:rFonts w:ascii="Calibri" w:hAnsi="Calibri" w:cs="Calibri"/>
                <w:b/>
                <w:color w:val="000000"/>
              </w:rPr>
              <w:t>Total</w:t>
            </w:r>
          </w:p>
        </w:tc>
        <w:tc>
          <w:tcPr>
            <w:tcW w:w="1397" w:type="dxa"/>
            <w:tcBorders>
              <w:top w:val="single" w:sz="12" w:space="0" w:color="auto"/>
              <w:left w:val="single" w:sz="12" w:space="0" w:color="auto"/>
              <w:bottom w:val="single" w:sz="12" w:space="0" w:color="auto"/>
              <w:right w:val="single" w:sz="12" w:space="0" w:color="auto"/>
            </w:tcBorders>
          </w:tcPr>
          <w:p w14:paraId="1EE9A913" w14:textId="77777777" w:rsidR="005904DD" w:rsidRPr="005904DD" w:rsidRDefault="005904DD" w:rsidP="005904DD">
            <w:pPr>
              <w:autoSpaceDE w:val="0"/>
              <w:autoSpaceDN w:val="0"/>
              <w:adjustRightInd w:val="0"/>
              <w:spacing w:after="0" w:line="240" w:lineRule="auto"/>
              <w:jc w:val="center"/>
              <w:rPr>
                <w:rFonts w:ascii="Calibri" w:hAnsi="Calibri" w:cs="Calibri"/>
                <w:b/>
                <w:color w:val="000000"/>
              </w:rPr>
            </w:pPr>
            <w:r w:rsidRPr="005904DD">
              <w:rPr>
                <w:rFonts w:ascii="Calibri" w:hAnsi="Calibri" w:cs="Calibri"/>
                <w:b/>
                <w:color w:val="000000"/>
              </w:rPr>
              <w:t>3473</w:t>
            </w:r>
          </w:p>
        </w:tc>
        <w:tc>
          <w:tcPr>
            <w:tcW w:w="1397" w:type="dxa"/>
            <w:tcBorders>
              <w:top w:val="single" w:sz="12" w:space="0" w:color="auto"/>
              <w:left w:val="single" w:sz="12" w:space="0" w:color="auto"/>
              <w:bottom w:val="single" w:sz="12" w:space="0" w:color="auto"/>
              <w:right w:val="nil"/>
            </w:tcBorders>
          </w:tcPr>
          <w:p w14:paraId="0507FDD2" w14:textId="77777777" w:rsidR="005904DD" w:rsidRPr="005904DD" w:rsidRDefault="005904DD" w:rsidP="005904DD">
            <w:pPr>
              <w:autoSpaceDE w:val="0"/>
              <w:autoSpaceDN w:val="0"/>
              <w:adjustRightInd w:val="0"/>
              <w:spacing w:after="0" w:line="240" w:lineRule="auto"/>
              <w:jc w:val="center"/>
              <w:rPr>
                <w:rFonts w:ascii="Calibri" w:hAnsi="Calibri" w:cs="Calibri"/>
                <w:b/>
                <w:color w:val="000000"/>
              </w:rPr>
            </w:pPr>
            <w:r w:rsidRPr="005904DD">
              <w:rPr>
                <w:rFonts w:ascii="Calibri" w:hAnsi="Calibri" w:cs="Calibri"/>
                <w:b/>
                <w:color w:val="000000"/>
              </w:rPr>
              <w:t>224</w:t>
            </w:r>
          </w:p>
        </w:tc>
        <w:tc>
          <w:tcPr>
            <w:tcW w:w="964" w:type="dxa"/>
            <w:tcBorders>
              <w:top w:val="single" w:sz="12" w:space="0" w:color="auto"/>
              <w:left w:val="single" w:sz="12" w:space="0" w:color="auto"/>
              <w:bottom w:val="single" w:sz="12" w:space="0" w:color="auto"/>
              <w:right w:val="single" w:sz="12" w:space="0" w:color="auto"/>
            </w:tcBorders>
          </w:tcPr>
          <w:p w14:paraId="1EA11272" w14:textId="77777777" w:rsidR="005904DD" w:rsidRPr="005904DD" w:rsidRDefault="005904DD" w:rsidP="005904DD">
            <w:pPr>
              <w:autoSpaceDE w:val="0"/>
              <w:autoSpaceDN w:val="0"/>
              <w:adjustRightInd w:val="0"/>
              <w:spacing w:after="0" w:line="240" w:lineRule="auto"/>
              <w:jc w:val="center"/>
              <w:rPr>
                <w:rFonts w:ascii="Arial" w:hAnsi="Arial" w:cs="Arial"/>
                <w:b/>
                <w:color w:val="000000"/>
                <w:sz w:val="20"/>
                <w:szCs w:val="20"/>
              </w:rPr>
            </w:pPr>
            <w:r w:rsidRPr="005904DD">
              <w:rPr>
                <w:rFonts w:ascii="Arial" w:hAnsi="Arial" w:cs="Arial"/>
                <w:b/>
                <w:color w:val="000000"/>
                <w:sz w:val="20"/>
                <w:szCs w:val="20"/>
              </w:rPr>
              <w:t>6.4%</w:t>
            </w:r>
          </w:p>
        </w:tc>
        <w:tc>
          <w:tcPr>
            <w:tcW w:w="965" w:type="dxa"/>
            <w:tcBorders>
              <w:top w:val="single" w:sz="12" w:space="0" w:color="auto"/>
              <w:left w:val="single" w:sz="12" w:space="0" w:color="auto"/>
              <w:bottom w:val="single" w:sz="12" w:space="0" w:color="auto"/>
              <w:right w:val="single" w:sz="12" w:space="0" w:color="auto"/>
            </w:tcBorders>
          </w:tcPr>
          <w:p w14:paraId="244D58E3" w14:textId="77777777" w:rsidR="005904DD" w:rsidRPr="005904DD" w:rsidRDefault="005904DD" w:rsidP="005904DD">
            <w:pPr>
              <w:autoSpaceDE w:val="0"/>
              <w:autoSpaceDN w:val="0"/>
              <w:adjustRightInd w:val="0"/>
              <w:spacing w:after="0" w:line="240" w:lineRule="auto"/>
              <w:jc w:val="center"/>
              <w:rPr>
                <w:rFonts w:ascii="Arial" w:hAnsi="Arial" w:cs="Arial"/>
                <w:b/>
                <w:color w:val="000000"/>
                <w:sz w:val="20"/>
                <w:szCs w:val="20"/>
              </w:rPr>
            </w:pPr>
            <w:r w:rsidRPr="005904DD">
              <w:rPr>
                <w:rFonts w:ascii="Arial" w:hAnsi="Arial" w:cs="Arial"/>
                <w:b/>
                <w:color w:val="000000"/>
                <w:sz w:val="20"/>
                <w:szCs w:val="20"/>
              </w:rPr>
              <w:t>13.0%</w:t>
            </w:r>
          </w:p>
        </w:tc>
      </w:tr>
      <w:tr w:rsidR="005904DD" w14:paraId="0A08C9DA" w14:textId="77777777">
        <w:trPr>
          <w:trHeight w:val="298"/>
        </w:trPr>
        <w:tc>
          <w:tcPr>
            <w:tcW w:w="1728" w:type="dxa"/>
            <w:tcBorders>
              <w:top w:val="single" w:sz="12" w:space="0" w:color="auto"/>
              <w:left w:val="nil"/>
              <w:bottom w:val="single" w:sz="12" w:space="0" w:color="auto"/>
              <w:right w:val="nil"/>
            </w:tcBorders>
          </w:tcPr>
          <w:p w14:paraId="2EDA0D25" w14:textId="77777777" w:rsidR="005904DD" w:rsidRDefault="005904DD" w:rsidP="005904D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Hanger Hill</w:t>
            </w:r>
          </w:p>
        </w:tc>
        <w:tc>
          <w:tcPr>
            <w:tcW w:w="1397" w:type="dxa"/>
            <w:tcBorders>
              <w:top w:val="single" w:sz="12" w:space="0" w:color="auto"/>
              <w:left w:val="nil"/>
              <w:bottom w:val="single" w:sz="12" w:space="0" w:color="auto"/>
              <w:right w:val="nil"/>
            </w:tcBorders>
          </w:tcPr>
          <w:p w14:paraId="7E370A45" w14:textId="77777777" w:rsidR="005904DD" w:rsidRDefault="005904DD" w:rsidP="005904DD">
            <w:pPr>
              <w:autoSpaceDE w:val="0"/>
              <w:autoSpaceDN w:val="0"/>
              <w:adjustRightInd w:val="0"/>
              <w:spacing w:after="0" w:line="240" w:lineRule="auto"/>
              <w:jc w:val="center"/>
              <w:rPr>
                <w:rFonts w:ascii="Calibri" w:hAnsi="Calibri" w:cs="Calibri"/>
                <w:color w:val="000000"/>
              </w:rPr>
            </w:pPr>
          </w:p>
        </w:tc>
        <w:tc>
          <w:tcPr>
            <w:tcW w:w="1397" w:type="dxa"/>
            <w:tcBorders>
              <w:top w:val="single" w:sz="12" w:space="0" w:color="auto"/>
              <w:left w:val="nil"/>
              <w:bottom w:val="single" w:sz="12" w:space="0" w:color="auto"/>
              <w:right w:val="nil"/>
            </w:tcBorders>
          </w:tcPr>
          <w:p w14:paraId="2092045C" w14:textId="77777777" w:rsidR="005904DD" w:rsidRDefault="005904DD" w:rsidP="005904DD">
            <w:pPr>
              <w:autoSpaceDE w:val="0"/>
              <w:autoSpaceDN w:val="0"/>
              <w:adjustRightInd w:val="0"/>
              <w:spacing w:after="0" w:line="240" w:lineRule="auto"/>
              <w:jc w:val="center"/>
              <w:rPr>
                <w:rFonts w:ascii="Calibri" w:hAnsi="Calibri" w:cs="Calibri"/>
                <w:color w:val="000000"/>
              </w:rPr>
            </w:pPr>
          </w:p>
        </w:tc>
        <w:tc>
          <w:tcPr>
            <w:tcW w:w="964" w:type="dxa"/>
            <w:tcBorders>
              <w:top w:val="nil"/>
              <w:left w:val="single" w:sz="6" w:space="0" w:color="auto"/>
              <w:bottom w:val="nil"/>
              <w:right w:val="nil"/>
            </w:tcBorders>
          </w:tcPr>
          <w:p w14:paraId="1CBE0AAD" w14:textId="77777777" w:rsidR="005904DD" w:rsidRDefault="005904DD" w:rsidP="005904DD">
            <w:pPr>
              <w:autoSpaceDE w:val="0"/>
              <w:autoSpaceDN w:val="0"/>
              <w:adjustRightInd w:val="0"/>
              <w:spacing w:after="0" w:line="240" w:lineRule="auto"/>
              <w:jc w:val="center"/>
              <w:rPr>
                <w:rFonts w:ascii="Arial" w:hAnsi="Arial" w:cs="Arial"/>
                <w:color w:val="000000"/>
                <w:sz w:val="20"/>
                <w:szCs w:val="20"/>
              </w:rPr>
            </w:pPr>
          </w:p>
        </w:tc>
        <w:tc>
          <w:tcPr>
            <w:tcW w:w="965" w:type="dxa"/>
            <w:tcBorders>
              <w:top w:val="nil"/>
              <w:left w:val="nil"/>
              <w:bottom w:val="nil"/>
              <w:right w:val="single" w:sz="6" w:space="0" w:color="auto"/>
            </w:tcBorders>
          </w:tcPr>
          <w:p w14:paraId="41AC4CBD" w14:textId="77777777" w:rsidR="005904DD" w:rsidRDefault="005904DD" w:rsidP="005904DD">
            <w:pPr>
              <w:autoSpaceDE w:val="0"/>
              <w:autoSpaceDN w:val="0"/>
              <w:adjustRightInd w:val="0"/>
              <w:spacing w:after="0" w:line="240" w:lineRule="auto"/>
              <w:jc w:val="center"/>
              <w:rPr>
                <w:rFonts w:ascii="Arial" w:hAnsi="Arial" w:cs="Arial"/>
                <w:color w:val="000000"/>
                <w:sz w:val="20"/>
                <w:szCs w:val="20"/>
              </w:rPr>
            </w:pPr>
          </w:p>
        </w:tc>
      </w:tr>
      <w:tr w:rsidR="005904DD" w14:paraId="1B8C1F87" w14:textId="77777777">
        <w:trPr>
          <w:trHeight w:val="298"/>
        </w:trPr>
        <w:tc>
          <w:tcPr>
            <w:tcW w:w="1728" w:type="dxa"/>
            <w:tcBorders>
              <w:top w:val="nil"/>
              <w:left w:val="single" w:sz="12" w:space="0" w:color="auto"/>
              <w:bottom w:val="single" w:sz="12" w:space="0" w:color="auto"/>
              <w:right w:val="single" w:sz="12" w:space="0" w:color="auto"/>
            </w:tcBorders>
          </w:tcPr>
          <w:p w14:paraId="0E3465D9" w14:textId="47A7AA09" w:rsidR="005904DD" w:rsidRDefault="000274EE" w:rsidP="005904D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F</w:t>
            </w:r>
            <w:r w:rsidR="005904DD">
              <w:rPr>
                <w:rFonts w:ascii="Calibri" w:hAnsi="Calibri" w:cs="Calibri"/>
                <w:color w:val="000000"/>
              </w:rPr>
              <w:t>G</w:t>
            </w:r>
            <w:r w:rsidR="00724AE0">
              <w:rPr>
                <w:rFonts w:ascii="Calibri" w:hAnsi="Calibri" w:cs="Calibri"/>
                <w:color w:val="000000"/>
              </w:rPr>
              <w:t>A</w:t>
            </w:r>
          </w:p>
        </w:tc>
        <w:tc>
          <w:tcPr>
            <w:tcW w:w="1397" w:type="dxa"/>
            <w:tcBorders>
              <w:top w:val="nil"/>
              <w:left w:val="nil"/>
              <w:bottom w:val="single" w:sz="12" w:space="0" w:color="auto"/>
              <w:right w:val="single" w:sz="12" w:space="0" w:color="auto"/>
            </w:tcBorders>
          </w:tcPr>
          <w:p w14:paraId="0B33EB69" w14:textId="77777777" w:rsidR="005904DD" w:rsidRDefault="005904DD" w:rsidP="005904D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1252</w:t>
            </w:r>
          </w:p>
        </w:tc>
        <w:tc>
          <w:tcPr>
            <w:tcW w:w="1397" w:type="dxa"/>
            <w:tcBorders>
              <w:top w:val="nil"/>
              <w:left w:val="nil"/>
              <w:bottom w:val="single" w:sz="12" w:space="0" w:color="auto"/>
              <w:right w:val="nil"/>
            </w:tcBorders>
          </w:tcPr>
          <w:p w14:paraId="61DAC9C0" w14:textId="1314BEF7" w:rsidR="005904DD" w:rsidRDefault="00711789" w:rsidP="005904DD">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964" w:type="dxa"/>
            <w:tcBorders>
              <w:top w:val="single" w:sz="12" w:space="0" w:color="auto"/>
              <w:left w:val="single" w:sz="12" w:space="0" w:color="auto"/>
              <w:bottom w:val="single" w:sz="12" w:space="0" w:color="auto"/>
              <w:right w:val="single" w:sz="12" w:space="0" w:color="auto"/>
            </w:tcBorders>
          </w:tcPr>
          <w:p w14:paraId="217AA3D8" w14:textId="77777777" w:rsidR="005904DD" w:rsidRDefault="005904DD" w:rsidP="005904DD">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0.2%</w:t>
            </w:r>
          </w:p>
        </w:tc>
        <w:tc>
          <w:tcPr>
            <w:tcW w:w="965" w:type="dxa"/>
            <w:tcBorders>
              <w:top w:val="single" w:sz="12" w:space="0" w:color="auto"/>
              <w:left w:val="single" w:sz="12" w:space="0" w:color="auto"/>
              <w:bottom w:val="single" w:sz="12" w:space="0" w:color="auto"/>
              <w:right w:val="single" w:sz="12" w:space="0" w:color="auto"/>
            </w:tcBorders>
          </w:tcPr>
          <w:p w14:paraId="78EC47D1" w14:textId="77777777" w:rsidR="005904DD" w:rsidRDefault="005904DD" w:rsidP="005904DD">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0.1%</w:t>
            </w:r>
          </w:p>
        </w:tc>
      </w:tr>
      <w:tr w:rsidR="005904DD" w14:paraId="4D4FF851" w14:textId="77777777">
        <w:trPr>
          <w:trHeight w:val="298"/>
        </w:trPr>
        <w:tc>
          <w:tcPr>
            <w:tcW w:w="1728" w:type="dxa"/>
            <w:tcBorders>
              <w:top w:val="nil"/>
              <w:left w:val="single" w:sz="12" w:space="0" w:color="auto"/>
              <w:bottom w:val="single" w:sz="12" w:space="0" w:color="auto"/>
              <w:right w:val="single" w:sz="12" w:space="0" w:color="auto"/>
            </w:tcBorders>
          </w:tcPr>
          <w:p w14:paraId="69A24898" w14:textId="77777777" w:rsidR="005904DD" w:rsidRPr="005904DD" w:rsidRDefault="005904DD" w:rsidP="005904DD">
            <w:pPr>
              <w:autoSpaceDE w:val="0"/>
              <w:autoSpaceDN w:val="0"/>
              <w:adjustRightInd w:val="0"/>
              <w:spacing w:after="0" w:line="240" w:lineRule="auto"/>
              <w:jc w:val="center"/>
              <w:rPr>
                <w:rFonts w:ascii="Calibri" w:hAnsi="Calibri" w:cs="Calibri"/>
                <w:b/>
                <w:color w:val="000000"/>
              </w:rPr>
            </w:pPr>
            <w:r w:rsidRPr="005904DD">
              <w:rPr>
                <w:rFonts w:ascii="Calibri" w:hAnsi="Calibri" w:cs="Calibri"/>
                <w:b/>
                <w:color w:val="000000"/>
              </w:rPr>
              <w:t>Total</w:t>
            </w:r>
          </w:p>
        </w:tc>
        <w:tc>
          <w:tcPr>
            <w:tcW w:w="1397" w:type="dxa"/>
            <w:tcBorders>
              <w:top w:val="nil"/>
              <w:left w:val="nil"/>
              <w:bottom w:val="single" w:sz="12" w:space="0" w:color="auto"/>
              <w:right w:val="single" w:sz="12" w:space="0" w:color="auto"/>
            </w:tcBorders>
          </w:tcPr>
          <w:p w14:paraId="11C7E529" w14:textId="77777777" w:rsidR="005904DD" w:rsidRPr="005904DD" w:rsidRDefault="005904DD" w:rsidP="005904DD">
            <w:pPr>
              <w:autoSpaceDE w:val="0"/>
              <w:autoSpaceDN w:val="0"/>
              <w:adjustRightInd w:val="0"/>
              <w:spacing w:after="0" w:line="240" w:lineRule="auto"/>
              <w:jc w:val="center"/>
              <w:rPr>
                <w:rFonts w:ascii="Calibri" w:hAnsi="Calibri" w:cs="Calibri"/>
                <w:b/>
                <w:color w:val="000000"/>
              </w:rPr>
            </w:pPr>
            <w:r w:rsidRPr="005904DD">
              <w:rPr>
                <w:rFonts w:ascii="Calibri" w:hAnsi="Calibri" w:cs="Calibri"/>
                <w:b/>
                <w:color w:val="000000"/>
              </w:rPr>
              <w:t>1252</w:t>
            </w:r>
          </w:p>
        </w:tc>
        <w:tc>
          <w:tcPr>
            <w:tcW w:w="1397" w:type="dxa"/>
            <w:tcBorders>
              <w:top w:val="nil"/>
              <w:left w:val="nil"/>
              <w:bottom w:val="single" w:sz="12" w:space="0" w:color="auto"/>
              <w:right w:val="nil"/>
            </w:tcBorders>
          </w:tcPr>
          <w:p w14:paraId="3CAF05A0" w14:textId="42892B9C" w:rsidR="005904DD" w:rsidRPr="005904DD" w:rsidRDefault="00711789" w:rsidP="005904DD">
            <w:pPr>
              <w:autoSpaceDE w:val="0"/>
              <w:autoSpaceDN w:val="0"/>
              <w:adjustRightInd w:val="0"/>
              <w:spacing w:after="0" w:line="240" w:lineRule="auto"/>
              <w:jc w:val="center"/>
              <w:rPr>
                <w:rFonts w:ascii="Calibri" w:hAnsi="Calibri" w:cs="Calibri"/>
                <w:b/>
                <w:color w:val="000000"/>
              </w:rPr>
            </w:pPr>
            <w:r>
              <w:rPr>
                <w:rFonts w:ascii="Calibri" w:hAnsi="Calibri" w:cs="Calibri"/>
                <w:b/>
                <w:color w:val="000000"/>
              </w:rPr>
              <w:t>1</w:t>
            </w:r>
          </w:p>
        </w:tc>
        <w:tc>
          <w:tcPr>
            <w:tcW w:w="964" w:type="dxa"/>
            <w:tcBorders>
              <w:top w:val="single" w:sz="12" w:space="0" w:color="auto"/>
              <w:left w:val="single" w:sz="12" w:space="0" w:color="auto"/>
              <w:bottom w:val="single" w:sz="12" w:space="0" w:color="auto"/>
              <w:right w:val="single" w:sz="12" w:space="0" w:color="auto"/>
            </w:tcBorders>
          </w:tcPr>
          <w:p w14:paraId="217799A7" w14:textId="77777777" w:rsidR="005904DD" w:rsidRPr="005904DD" w:rsidRDefault="005904DD" w:rsidP="005904DD">
            <w:pPr>
              <w:autoSpaceDE w:val="0"/>
              <w:autoSpaceDN w:val="0"/>
              <w:adjustRightInd w:val="0"/>
              <w:spacing w:after="0" w:line="240" w:lineRule="auto"/>
              <w:jc w:val="center"/>
              <w:rPr>
                <w:rFonts w:ascii="Arial" w:hAnsi="Arial" w:cs="Arial"/>
                <w:b/>
                <w:color w:val="000000"/>
                <w:sz w:val="20"/>
                <w:szCs w:val="20"/>
              </w:rPr>
            </w:pPr>
            <w:r w:rsidRPr="005904DD">
              <w:rPr>
                <w:rFonts w:ascii="Arial" w:hAnsi="Arial" w:cs="Arial"/>
                <w:b/>
                <w:color w:val="000000"/>
                <w:sz w:val="20"/>
                <w:szCs w:val="20"/>
              </w:rPr>
              <w:t>0.2%</w:t>
            </w:r>
          </w:p>
        </w:tc>
        <w:tc>
          <w:tcPr>
            <w:tcW w:w="965" w:type="dxa"/>
            <w:tcBorders>
              <w:top w:val="single" w:sz="12" w:space="0" w:color="auto"/>
              <w:left w:val="single" w:sz="12" w:space="0" w:color="auto"/>
              <w:bottom w:val="single" w:sz="12" w:space="0" w:color="auto"/>
              <w:right w:val="single" w:sz="12" w:space="0" w:color="auto"/>
            </w:tcBorders>
          </w:tcPr>
          <w:p w14:paraId="044E5CEF" w14:textId="77777777" w:rsidR="005904DD" w:rsidRPr="005904DD" w:rsidRDefault="005904DD" w:rsidP="005904DD">
            <w:pPr>
              <w:autoSpaceDE w:val="0"/>
              <w:autoSpaceDN w:val="0"/>
              <w:adjustRightInd w:val="0"/>
              <w:spacing w:after="0" w:line="240" w:lineRule="auto"/>
              <w:jc w:val="center"/>
              <w:rPr>
                <w:rFonts w:ascii="Arial" w:hAnsi="Arial" w:cs="Arial"/>
                <w:b/>
                <w:color w:val="000000"/>
                <w:sz w:val="20"/>
                <w:szCs w:val="20"/>
              </w:rPr>
            </w:pPr>
            <w:r w:rsidRPr="005904DD">
              <w:rPr>
                <w:rFonts w:ascii="Arial" w:hAnsi="Arial" w:cs="Arial"/>
                <w:b/>
                <w:color w:val="000000"/>
                <w:sz w:val="20"/>
                <w:szCs w:val="20"/>
              </w:rPr>
              <w:t>0.1%</w:t>
            </w:r>
          </w:p>
        </w:tc>
      </w:tr>
      <w:tr w:rsidR="005904DD" w14:paraId="3FD3CA2F" w14:textId="77777777">
        <w:trPr>
          <w:trHeight w:val="298"/>
        </w:trPr>
        <w:tc>
          <w:tcPr>
            <w:tcW w:w="1728" w:type="dxa"/>
            <w:tcBorders>
              <w:top w:val="single" w:sz="12" w:space="0" w:color="auto"/>
              <w:left w:val="single" w:sz="12" w:space="0" w:color="auto"/>
              <w:bottom w:val="single" w:sz="12" w:space="0" w:color="auto"/>
              <w:right w:val="single" w:sz="12" w:space="0" w:color="auto"/>
            </w:tcBorders>
          </w:tcPr>
          <w:p w14:paraId="0FF61DCF" w14:textId="77777777" w:rsidR="005904DD" w:rsidRDefault="005904DD" w:rsidP="005904DD">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Total all</w:t>
            </w:r>
          </w:p>
        </w:tc>
        <w:tc>
          <w:tcPr>
            <w:tcW w:w="1397" w:type="dxa"/>
            <w:tcBorders>
              <w:top w:val="single" w:sz="12" w:space="0" w:color="auto"/>
              <w:left w:val="single" w:sz="12" w:space="0" w:color="auto"/>
              <w:bottom w:val="single" w:sz="12" w:space="0" w:color="auto"/>
              <w:right w:val="single" w:sz="12" w:space="0" w:color="auto"/>
            </w:tcBorders>
          </w:tcPr>
          <w:p w14:paraId="6FE254A1" w14:textId="77777777" w:rsidR="005904DD" w:rsidRDefault="005904DD" w:rsidP="005904DD">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16509</w:t>
            </w:r>
          </w:p>
        </w:tc>
        <w:tc>
          <w:tcPr>
            <w:tcW w:w="1397" w:type="dxa"/>
            <w:tcBorders>
              <w:top w:val="single" w:sz="12" w:space="0" w:color="auto"/>
              <w:left w:val="single" w:sz="12" w:space="0" w:color="auto"/>
              <w:bottom w:val="single" w:sz="12" w:space="0" w:color="auto"/>
              <w:right w:val="single" w:sz="12" w:space="0" w:color="auto"/>
            </w:tcBorders>
          </w:tcPr>
          <w:p w14:paraId="58D59ACD" w14:textId="43A6D8F8" w:rsidR="005904DD" w:rsidRDefault="005904DD" w:rsidP="00711789">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172</w:t>
            </w:r>
            <w:r w:rsidR="00711789">
              <w:rPr>
                <w:rFonts w:ascii="Arial" w:hAnsi="Arial" w:cs="Arial"/>
                <w:b/>
                <w:bCs/>
                <w:color w:val="000000"/>
                <w:sz w:val="20"/>
                <w:szCs w:val="20"/>
              </w:rPr>
              <w:t>2</w:t>
            </w:r>
          </w:p>
        </w:tc>
        <w:tc>
          <w:tcPr>
            <w:tcW w:w="964" w:type="dxa"/>
            <w:tcBorders>
              <w:top w:val="single" w:sz="12" w:space="0" w:color="auto"/>
              <w:left w:val="single" w:sz="12" w:space="0" w:color="auto"/>
              <w:bottom w:val="single" w:sz="12" w:space="0" w:color="auto"/>
              <w:right w:val="single" w:sz="12" w:space="0" w:color="auto"/>
            </w:tcBorders>
          </w:tcPr>
          <w:p w14:paraId="15A07D1F" w14:textId="77777777" w:rsidR="005904DD" w:rsidRDefault="005904DD" w:rsidP="005904DD">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10.4%</w:t>
            </w:r>
          </w:p>
        </w:tc>
        <w:tc>
          <w:tcPr>
            <w:tcW w:w="965" w:type="dxa"/>
            <w:tcBorders>
              <w:top w:val="single" w:sz="12" w:space="0" w:color="auto"/>
              <w:left w:val="single" w:sz="12" w:space="0" w:color="auto"/>
              <w:bottom w:val="single" w:sz="12" w:space="0" w:color="auto"/>
              <w:right w:val="single" w:sz="12" w:space="0" w:color="auto"/>
            </w:tcBorders>
          </w:tcPr>
          <w:p w14:paraId="48ECCF26" w14:textId="77777777" w:rsidR="005904DD" w:rsidRDefault="005904DD" w:rsidP="005904DD">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100.0%</w:t>
            </w:r>
          </w:p>
        </w:tc>
      </w:tr>
    </w:tbl>
    <w:p w14:paraId="4F8A70AC" w14:textId="6800B92B" w:rsidR="005904DD" w:rsidRDefault="005904DD"/>
    <w:p w14:paraId="720D71F9" w14:textId="244C87D7" w:rsidR="00731F9D" w:rsidRDefault="00EF4BA0">
      <w:r>
        <w:t xml:space="preserve">The initial </w:t>
      </w:r>
      <w:r w:rsidR="008C1466">
        <w:t xml:space="preserve">CENF </w:t>
      </w:r>
      <w:r>
        <w:t xml:space="preserve">public consultation in </w:t>
      </w:r>
      <w:r w:rsidR="000D1206">
        <w:t xml:space="preserve">summer 2013 covered </w:t>
      </w:r>
      <w:r w:rsidR="006D06C7">
        <w:t>the</w:t>
      </w:r>
      <w:r w:rsidR="000D1206">
        <w:t xml:space="preserve"> wider area (</w:t>
      </w:r>
      <w:r w:rsidR="00C21987">
        <w:t>Table 1 Col 2</w:t>
      </w:r>
      <w:r w:rsidR="000D1206">
        <w:t>), which</w:t>
      </w:r>
      <w:r w:rsidR="00C96F4C">
        <w:t xml:space="preserve"> then</w:t>
      </w:r>
      <w:r w:rsidR="000D1206">
        <w:t xml:space="preserve"> contained about 16,000 voters at 8,800 separate addresses. This </w:t>
      </w:r>
      <w:r w:rsidR="00C21987">
        <w:t xml:space="preserve">‘consultation area’ </w:t>
      </w:r>
      <w:r w:rsidR="000D1206">
        <w:t xml:space="preserve">was chosen as it was defined by </w:t>
      </w:r>
      <w:r w:rsidR="00C54F2E">
        <w:t>complete</w:t>
      </w:r>
      <w:r w:rsidR="000D1206">
        <w:t xml:space="preserve"> polling districts </w:t>
      </w:r>
      <w:r w:rsidR="00C54F2E">
        <w:t>forming a ring around the town, the</w:t>
      </w:r>
      <w:r w:rsidR="000D1206">
        <w:t xml:space="preserve"> boundaries </w:t>
      </w:r>
      <w:r w:rsidR="00C54F2E">
        <w:t xml:space="preserve">of which </w:t>
      </w:r>
      <w:r w:rsidR="00310287">
        <w:t>a</w:t>
      </w:r>
      <w:r w:rsidR="00C54F2E">
        <w:t xml:space="preserve">re about </w:t>
      </w:r>
      <w:r w:rsidR="00722FA8">
        <w:t>1</w:t>
      </w:r>
      <w:r w:rsidR="005B76E2">
        <w:t xml:space="preserve"> </w:t>
      </w:r>
      <w:r w:rsidR="00722FA8">
        <w:t xml:space="preserve">to </w:t>
      </w:r>
      <w:r w:rsidR="005B76E2">
        <w:t xml:space="preserve">1½ </w:t>
      </w:r>
      <w:r w:rsidR="00722FA8">
        <w:t>mile</w:t>
      </w:r>
      <w:r w:rsidR="005B76E2">
        <w:t>s</w:t>
      </w:r>
      <w:r w:rsidR="00722FA8">
        <w:t xml:space="preserve"> (1.5</w:t>
      </w:r>
      <w:r w:rsidR="005B76E2">
        <w:t xml:space="preserve"> to 2</w:t>
      </w:r>
      <w:r w:rsidR="00722FA8">
        <w:t xml:space="preserve"> km) from the centre (defined as the Town Hall).</w:t>
      </w:r>
      <w:r w:rsidR="00523BB5">
        <w:t xml:space="preserve"> It is also primarily residential, and looks to Ealing Broadway for much of its local shopping needs.</w:t>
      </w:r>
    </w:p>
    <w:p w14:paraId="084E57A9" w14:textId="77777777" w:rsidR="006D06C7" w:rsidRDefault="006D06C7">
      <w:pPr>
        <w:rPr>
          <w:b/>
        </w:rPr>
      </w:pPr>
    </w:p>
    <w:p w14:paraId="3A2F4E09" w14:textId="77777777" w:rsidR="00731F9D" w:rsidRPr="00731F9D" w:rsidRDefault="00731F9D">
      <w:pPr>
        <w:rPr>
          <w:b/>
        </w:rPr>
      </w:pPr>
      <w:r w:rsidRPr="00731F9D">
        <w:rPr>
          <w:b/>
        </w:rPr>
        <w:t>Proximity of other centres</w:t>
      </w:r>
    </w:p>
    <w:p w14:paraId="49F683E6" w14:textId="452DDB48" w:rsidR="00731F9D" w:rsidRDefault="00523BB5">
      <w:r>
        <w:t>Outside the 1½ mile radius</w:t>
      </w:r>
      <w:r w:rsidR="000E0044">
        <w:t xml:space="preserve"> there a</w:t>
      </w:r>
      <w:r w:rsidR="006126DC">
        <w:t>re</w:t>
      </w:r>
      <w:r w:rsidR="000E0044">
        <w:t xml:space="preserve"> secondary shopping areas serving local shoppers</w:t>
      </w:r>
      <w:r w:rsidR="006126DC" w:rsidRPr="006126DC">
        <w:t xml:space="preserve"> </w:t>
      </w:r>
      <w:r w:rsidR="006126DC">
        <w:t>and several out-of-centre supermarkets</w:t>
      </w:r>
      <w:r w:rsidR="000E0044">
        <w:t>, at a distance of between 2 to 2½ miles (3 to 4km).</w:t>
      </w:r>
      <w:r>
        <w:t xml:space="preserve"> </w:t>
      </w:r>
      <w:r w:rsidR="006126DC">
        <w:t>M</w:t>
      </w:r>
      <w:r w:rsidR="00731F9D">
        <w:t xml:space="preserve">ajor </w:t>
      </w:r>
      <w:r w:rsidR="00310287">
        <w:t xml:space="preserve">competing </w:t>
      </w:r>
      <w:r w:rsidR="00731F9D">
        <w:t>centres</w:t>
      </w:r>
      <w:r w:rsidR="006126DC">
        <w:t xml:space="preserve"> (including other metropolitan town centres)</w:t>
      </w:r>
      <w:r w:rsidR="00731F9D">
        <w:t xml:space="preserve"> exist</w:t>
      </w:r>
      <w:r w:rsidR="006126DC">
        <w:t xml:space="preserve"> in a 5 mile (8 km) radius (CENP map 1).</w:t>
      </w:r>
    </w:p>
    <w:p w14:paraId="07F2B80F" w14:textId="73C7586A" w:rsidR="006126DC" w:rsidRPr="00594270" w:rsidRDefault="00594270">
      <w:r w:rsidRPr="00594270">
        <w:rPr>
          <w:b/>
        </w:rPr>
        <w:t>Economic impact of plan proposals</w:t>
      </w:r>
    </w:p>
    <w:p w14:paraId="34EF18D0" w14:textId="2FA975FE" w:rsidR="00FA7704" w:rsidRDefault="00594270">
      <w:r>
        <w:t>By definition CENP does not deal with strategic issues such as transport. Its main purpose is to identify the special characteristics of the town centre and propose policies to protect and develop these in the face of competitive pressures. The main</w:t>
      </w:r>
      <w:r w:rsidR="00ED3AF3">
        <w:t xml:space="preserve"> economic objectives </w:t>
      </w:r>
      <w:r>
        <w:t>conce</w:t>
      </w:r>
      <w:r w:rsidR="00ED3AF3">
        <w:t>r</w:t>
      </w:r>
      <w:r>
        <w:t xml:space="preserve">n the </w:t>
      </w:r>
      <w:r w:rsidR="00ED3AF3">
        <w:t xml:space="preserve">viability and vitality of the town as a </w:t>
      </w:r>
      <w:r w:rsidR="00AC47E5">
        <w:t>commercial</w:t>
      </w:r>
      <w:r w:rsidR="00ED3AF3">
        <w:t xml:space="preserve"> </w:t>
      </w:r>
      <w:r w:rsidR="00AC47E5">
        <w:t>centre.</w:t>
      </w:r>
    </w:p>
    <w:p w14:paraId="7EEDEE3A" w14:textId="77B9B112" w:rsidR="00FA7704" w:rsidRDefault="00AC47E5">
      <w:pPr>
        <w:rPr>
          <w:b/>
        </w:rPr>
      </w:pPr>
      <w:r>
        <w:rPr>
          <w:b/>
        </w:rPr>
        <w:t>Other impacts</w:t>
      </w:r>
    </w:p>
    <w:p w14:paraId="29CAECC9" w14:textId="3A9A0544" w:rsidR="00AC47E5" w:rsidRDefault="00C26757">
      <w:r>
        <w:t xml:space="preserve">A major </w:t>
      </w:r>
      <w:r w:rsidR="00282CC2" w:rsidRPr="00282CC2">
        <w:t>concern of those consulted in the early stages of the plan development was the need for adequate social infrastructure to support the large planned increase in population in the town centr</w:t>
      </w:r>
      <w:r w:rsidR="00282CC2">
        <w:t>e</w:t>
      </w:r>
      <w:r w:rsidR="00282CC2" w:rsidRPr="00282CC2">
        <w:t xml:space="preserve"> in the lifetime of the borough plan. </w:t>
      </w:r>
      <w:r w:rsidR="00282CC2">
        <w:t xml:space="preserve">Much of this provision (eg schools and health services) falls outside the scope of the neighbourhood plan, but spatial provision in mixed-use development is relevant, as is availability of facilities for </w:t>
      </w:r>
      <w:r>
        <w:t xml:space="preserve">cultural activities and entertainment. </w:t>
      </w:r>
      <w:r w:rsidR="00282CC2">
        <w:t xml:space="preserve">The main impact of such facilities falls on those in the immediate vicinity </w:t>
      </w:r>
      <w:r>
        <w:t xml:space="preserve">and within easy reach </w:t>
      </w:r>
      <w:r w:rsidR="00282CC2">
        <w:t>of the centre</w:t>
      </w:r>
      <w:r>
        <w:t xml:space="preserve">. </w:t>
      </w:r>
    </w:p>
    <w:p w14:paraId="188617A2" w14:textId="77777777" w:rsidR="00C21987" w:rsidRDefault="00DD75FB">
      <w:r>
        <w:t xml:space="preserve">Elements of CENP which have a wider impact mainly concern </w:t>
      </w:r>
      <w:r w:rsidR="00570CA4">
        <w:t>proposals for cultural facilities aimed at achieving its Vision of Ealing as a regional centre of excellence for culture and education.</w:t>
      </w:r>
      <w:r w:rsidR="00C21987">
        <w:t xml:space="preserve"> </w:t>
      </w:r>
    </w:p>
    <w:p w14:paraId="172041F2" w14:textId="31FEFC53" w:rsidR="00DD75FB" w:rsidRPr="00282CC2" w:rsidRDefault="00C21987">
      <w:r>
        <w:t xml:space="preserve">CENP is not considered to have an environmental impact beyond </w:t>
      </w:r>
      <w:r w:rsidR="00A944DB">
        <w:t>its</w:t>
      </w:r>
      <w:r>
        <w:t xml:space="preserve"> immediate vicinity.</w:t>
      </w:r>
    </w:p>
    <w:p w14:paraId="26CB7FCE" w14:textId="77777777" w:rsidR="00AC7CAF" w:rsidRDefault="00AC7CAF">
      <w:pPr>
        <w:rPr>
          <w:b/>
        </w:rPr>
      </w:pPr>
      <w:r>
        <w:rPr>
          <w:b/>
        </w:rPr>
        <w:t>Other considerations</w:t>
      </w:r>
    </w:p>
    <w:p w14:paraId="648B339D" w14:textId="0E3B35C5" w:rsidR="00711789" w:rsidRDefault="004F7F04">
      <w:r w:rsidRPr="004F7F04">
        <w:rPr>
          <w:b/>
        </w:rPr>
        <w:t>Electoral divisions</w:t>
      </w:r>
      <w:r>
        <w:t xml:space="preserve">. </w:t>
      </w:r>
      <w:r w:rsidR="00EF4BA0" w:rsidRPr="00EF4BA0">
        <w:t>A significant problem with restricting the referendum vote just to the Neighbourhood Area is that, as shown in Table 1, it does not coincide with existing polling districts (PDs). Regulations require that a referendum has to follow existing voting arrangements</w:t>
      </w:r>
      <w:r w:rsidR="00015C92">
        <w:t>. If the smaller area is chosen, this</w:t>
      </w:r>
      <w:r w:rsidR="00EF4BA0" w:rsidRPr="00EF4BA0">
        <w:t xml:space="preserve"> would necessitate preparation of special electoral registers for every existing PD and the provision of a full polling station at the normal location for each PD in which there were eligible voters. All 10 areas would therefore have to have fully manned stations all day, even if no</w:t>
      </w:r>
      <w:r w:rsidR="00015C92">
        <w:t>-one</w:t>
      </w:r>
      <w:r w:rsidR="00EF4BA0" w:rsidRPr="00EF4BA0">
        <w:t xml:space="preserve"> actually </w:t>
      </w:r>
      <w:r w:rsidR="00015C92">
        <w:t>voted</w:t>
      </w:r>
      <w:r w:rsidR="00EF4BA0" w:rsidRPr="00EF4BA0">
        <w:t xml:space="preserve"> in that district. This would be at a significantly high cost per voter, with little benefit when compared to setting the boundaries to incorporate full PDs.</w:t>
      </w:r>
    </w:p>
    <w:p w14:paraId="4A7BB706" w14:textId="50D4F9BE" w:rsidR="00D54CB7" w:rsidRDefault="00D54CB7">
      <w:r>
        <w:t xml:space="preserve">It should be noted that PDs are more likely </w:t>
      </w:r>
      <w:r w:rsidR="00510C5A">
        <w:t xml:space="preserve">to represent natural geographical areas with their own characteristics than the larger electoral wards which have been put together </w:t>
      </w:r>
      <w:r w:rsidR="007E2A8F">
        <w:t>large</w:t>
      </w:r>
      <w:r w:rsidR="00510C5A">
        <w:t xml:space="preserve">ly for reasons of meeting electoral quotas. Though in an urban area this is also very slight, they are more likely have some feeling of community identity, and form better units for assembling a local referendum area. </w:t>
      </w:r>
      <w:r>
        <w:t xml:space="preserve"> </w:t>
      </w:r>
    </w:p>
    <w:p w14:paraId="01BB05C1" w14:textId="29D82278" w:rsidR="004F7F04" w:rsidRDefault="004F7F04" w:rsidP="004F7F04">
      <w:r w:rsidRPr="004F7F04">
        <w:rPr>
          <w:b/>
        </w:rPr>
        <w:t>Area relevance</w:t>
      </w:r>
      <w:r>
        <w:t>. Ealing is often divided into broad areas corresponding to the communities which form the London borough</w:t>
      </w:r>
      <w:r w:rsidR="00510C5A">
        <w:t>, as for example health administration</w:t>
      </w:r>
      <w:r>
        <w:t xml:space="preserve">. Ealing’s widely recognised neighbourhood areas, ie. Acton, Ealing, Hanwell, Greenford, Northolt, Perivale and Southall, </w:t>
      </w:r>
      <w:r w:rsidR="00510C5A">
        <w:t xml:space="preserve">also </w:t>
      </w:r>
      <w:r>
        <w:t>largely retain their original centres and identities. The Ealing Metropolitan Centre is itself divided into two, with the western part about to submit its own neighbourhood plan (West Ealing Town Centre NP). Two further areas (Acton and Hanwell) are at earlier stages of plan development.</w:t>
      </w:r>
    </w:p>
    <w:p w14:paraId="21F7B5C5" w14:textId="74D2A5E6" w:rsidR="003317F9" w:rsidRDefault="004F7F04">
      <w:r w:rsidRPr="004F7F04">
        <w:rPr>
          <w:b/>
        </w:rPr>
        <w:t>Cost.</w:t>
      </w:r>
      <w:r>
        <w:t xml:space="preserve"> </w:t>
      </w:r>
      <w:r w:rsidR="003317F9">
        <w:t xml:space="preserve">A further consideration is the size of any electorate outside the immediate neighbourhood area which it should be considered reasonable for a neighbourhood forum to have to reach in publicising its plan, to ensure a reasonable level of voter turnout and support. CENF has no resources of its own for </w:t>
      </w:r>
      <w:r>
        <w:t>this</w:t>
      </w:r>
      <w:r w:rsidR="003317F9">
        <w:t xml:space="preserve">, and could not expect any significant contribution from </w:t>
      </w:r>
      <w:r>
        <w:t xml:space="preserve">the original stakeholders such a residents’ associations or </w:t>
      </w:r>
      <w:r w:rsidR="003317F9">
        <w:t>Make It Ealing (the name of the Ealing Broadway BID company)</w:t>
      </w:r>
      <w:r>
        <w:t xml:space="preserve">. </w:t>
      </w:r>
    </w:p>
    <w:p w14:paraId="28484BF4" w14:textId="77777777" w:rsidR="00570CA4" w:rsidRPr="00711789" w:rsidRDefault="00570CA4" w:rsidP="00570CA4">
      <w:pPr>
        <w:rPr>
          <w:b/>
        </w:rPr>
      </w:pPr>
      <w:r w:rsidRPr="00711789">
        <w:rPr>
          <w:b/>
        </w:rPr>
        <w:t>Alternative referendum area boundaries</w:t>
      </w:r>
    </w:p>
    <w:p w14:paraId="5D379C5A" w14:textId="67B10E3B" w:rsidR="00711789" w:rsidRDefault="00CA3D9E" w:rsidP="00EF4BA0">
      <w:r>
        <w:t>Other than</w:t>
      </w:r>
      <w:r w:rsidR="00711789">
        <w:t xml:space="preserve"> the neighbourhood area itself, </w:t>
      </w:r>
      <w:r>
        <w:t>option</w:t>
      </w:r>
      <w:r w:rsidR="00711789">
        <w:t xml:space="preserve">s for the referendum area </w:t>
      </w:r>
      <w:r w:rsidR="008C1466">
        <w:t>could be:</w:t>
      </w:r>
    </w:p>
    <w:p w14:paraId="455B9363" w14:textId="686FEB29" w:rsidR="008C1466" w:rsidRDefault="008C1466" w:rsidP="008C1466">
      <w:pPr>
        <w:pStyle w:val="ListParagraph"/>
        <w:numPr>
          <w:ilvl w:val="0"/>
          <w:numId w:val="4"/>
        </w:numPr>
      </w:pPr>
      <w:r>
        <w:t xml:space="preserve">The original ‘consultation area’ as defined </w:t>
      </w:r>
      <w:r w:rsidR="00ED4A65">
        <w:t>in the plan (Table 1 Col 3)</w:t>
      </w:r>
      <w:r w:rsidR="00E057FE">
        <w:t>.</w:t>
      </w:r>
    </w:p>
    <w:p w14:paraId="7F6D8C2E" w14:textId="77777777" w:rsidR="00A67E4F" w:rsidRDefault="00A67E4F" w:rsidP="00A67E4F">
      <w:pPr>
        <w:pStyle w:val="ListParagraph"/>
        <w:numPr>
          <w:ilvl w:val="0"/>
          <w:numId w:val="4"/>
        </w:numPr>
      </w:pPr>
      <w:r>
        <w:t>The entire borough of Ealing.</w:t>
      </w:r>
    </w:p>
    <w:p w14:paraId="139179C7" w14:textId="289D62E8" w:rsidR="00ED4A65" w:rsidRDefault="00ED4A65" w:rsidP="00ED4A65">
      <w:pPr>
        <w:pStyle w:val="ListParagraph"/>
        <w:numPr>
          <w:ilvl w:val="0"/>
          <w:numId w:val="4"/>
        </w:numPr>
      </w:pPr>
      <w:r>
        <w:t>All wards on the outskirts of the broad Ealing administrative area</w:t>
      </w:r>
      <w:r w:rsidR="00E057FE">
        <w:t xml:space="preserve"> (Table 2 below)</w:t>
      </w:r>
    </w:p>
    <w:p w14:paraId="063C5F34" w14:textId="38E81E0C" w:rsidR="008C1466" w:rsidRDefault="008C1466" w:rsidP="008C1466">
      <w:pPr>
        <w:pStyle w:val="ListParagraph"/>
        <w:numPr>
          <w:ilvl w:val="0"/>
          <w:numId w:val="4"/>
        </w:numPr>
      </w:pPr>
      <w:r>
        <w:t xml:space="preserve">The whole </w:t>
      </w:r>
      <w:r w:rsidR="00CA3D9E">
        <w:t xml:space="preserve">of the </w:t>
      </w:r>
      <w:r>
        <w:t>elect</w:t>
      </w:r>
      <w:r w:rsidR="00ED4A65">
        <w:t>oral wards in which the PDs in Option 1</w:t>
      </w:r>
      <w:r>
        <w:t xml:space="preserve"> fall</w:t>
      </w:r>
      <w:r w:rsidR="00E057FE">
        <w:t xml:space="preserve"> (Table 1 Col 2)</w:t>
      </w:r>
    </w:p>
    <w:p w14:paraId="0E7BECBD" w14:textId="5DC8AC60" w:rsidR="00CA3D9E" w:rsidRDefault="004F7F04" w:rsidP="00CA3D9E">
      <w:r w:rsidRPr="00D13C79">
        <w:t xml:space="preserve">A map showing the </w:t>
      </w:r>
      <w:r w:rsidR="00D13C79">
        <w:t>neighbourhood area and the r</w:t>
      </w:r>
      <w:r w:rsidRPr="00D13C79">
        <w:t xml:space="preserve">elevant electoral wards is attached. </w:t>
      </w:r>
      <w:r w:rsidR="00CA3D9E">
        <w:t>The table below shows the number of registered voters in each of the wards concerned.</w:t>
      </w:r>
    </w:p>
    <w:p w14:paraId="0CC6522F" w14:textId="7E7E9E9C" w:rsidR="004170E9" w:rsidRDefault="004170E9" w:rsidP="008C1466">
      <w:pPr>
        <w:rPr>
          <w:b/>
        </w:rPr>
      </w:pPr>
      <w:r>
        <w:rPr>
          <w:b/>
        </w:rPr>
        <w:t>Table 2</w:t>
      </w:r>
      <w:r>
        <w:rPr>
          <w:b/>
        </w:rPr>
        <w:br/>
      </w:r>
      <w:r w:rsidRPr="004170E9">
        <w:t>Voters in full wards</w:t>
      </w:r>
    </w:p>
    <w:tbl>
      <w:tblPr>
        <w:tblW w:w="3590" w:type="dxa"/>
        <w:tblLook w:val="04A0" w:firstRow="1" w:lastRow="0" w:firstColumn="1" w:lastColumn="0" w:noHBand="0" w:noVBand="1"/>
      </w:tblPr>
      <w:tblGrid>
        <w:gridCol w:w="1720"/>
        <w:gridCol w:w="1870"/>
      </w:tblGrid>
      <w:tr w:rsidR="004170E9" w:rsidRPr="004170E9" w14:paraId="3D44D339" w14:textId="77777777" w:rsidTr="004170E9">
        <w:trPr>
          <w:trHeight w:val="590"/>
        </w:trPr>
        <w:tc>
          <w:tcPr>
            <w:tcW w:w="17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53B852A" w14:textId="77777777" w:rsidR="004170E9" w:rsidRPr="004170E9" w:rsidRDefault="004170E9" w:rsidP="004170E9">
            <w:pPr>
              <w:spacing w:after="0" w:line="240" w:lineRule="auto"/>
              <w:rPr>
                <w:rFonts w:ascii="Calibri" w:eastAsia="Times New Roman" w:hAnsi="Calibri" w:cs="Calibri"/>
                <w:b/>
                <w:bCs/>
                <w:lang w:eastAsia="en-GB"/>
              </w:rPr>
            </w:pPr>
            <w:r w:rsidRPr="004170E9">
              <w:rPr>
                <w:rFonts w:ascii="Calibri" w:eastAsia="Times New Roman" w:hAnsi="Calibri" w:cs="Calibri"/>
                <w:b/>
                <w:bCs/>
                <w:lang w:eastAsia="en-GB"/>
              </w:rPr>
              <w:t>Ward</w:t>
            </w:r>
          </w:p>
        </w:tc>
        <w:tc>
          <w:tcPr>
            <w:tcW w:w="1870" w:type="dxa"/>
            <w:tcBorders>
              <w:top w:val="single" w:sz="8" w:space="0" w:color="auto"/>
              <w:left w:val="nil"/>
              <w:bottom w:val="single" w:sz="8" w:space="0" w:color="auto"/>
              <w:right w:val="single" w:sz="8" w:space="0" w:color="auto"/>
            </w:tcBorders>
            <w:shd w:val="clear" w:color="auto" w:fill="auto"/>
            <w:vAlign w:val="center"/>
            <w:hideMark/>
          </w:tcPr>
          <w:p w14:paraId="477060F8" w14:textId="77777777" w:rsidR="004170E9" w:rsidRPr="004170E9" w:rsidRDefault="004170E9" w:rsidP="004170E9">
            <w:pPr>
              <w:spacing w:after="0" w:line="240" w:lineRule="auto"/>
              <w:rPr>
                <w:rFonts w:ascii="Calibri" w:eastAsia="Times New Roman" w:hAnsi="Calibri" w:cs="Calibri"/>
                <w:b/>
                <w:bCs/>
                <w:lang w:eastAsia="en-GB"/>
              </w:rPr>
            </w:pPr>
            <w:r w:rsidRPr="004170E9">
              <w:rPr>
                <w:rFonts w:ascii="Calibri" w:eastAsia="Times New Roman" w:hAnsi="Calibri" w:cs="Calibri"/>
                <w:b/>
                <w:bCs/>
                <w:lang w:eastAsia="en-GB"/>
              </w:rPr>
              <w:t>Total electorate</w:t>
            </w:r>
          </w:p>
        </w:tc>
      </w:tr>
      <w:tr w:rsidR="004170E9" w:rsidRPr="004170E9" w14:paraId="782DB8E8" w14:textId="77777777" w:rsidTr="004170E9">
        <w:trPr>
          <w:trHeight w:val="300"/>
        </w:trPr>
        <w:tc>
          <w:tcPr>
            <w:tcW w:w="3590" w:type="dxa"/>
            <w:gridSpan w:val="2"/>
            <w:tcBorders>
              <w:top w:val="nil"/>
              <w:left w:val="nil"/>
              <w:bottom w:val="nil"/>
              <w:right w:val="nil"/>
            </w:tcBorders>
            <w:shd w:val="clear" w:color="auto" w:fill="auto"/>
            <w:noWrap/>
            <w:vAlign w:val="center"/>
            <w:hideMark/>
          </w:tcPr>
          <w:p w14:paraId="14681657" w14:textId="77777777" w:rsidR="004170E9" w:rsidRPr="004170E9" w:rsidRDefault="004170E9" w:rsidP="004170E9">
            <w:pPr>
              <w:spacing w:after="0" w:line="240" w:lineRule="auto"/>
              <w:rPr>
                <w:rFonts w:ascii="Calibri" w:eastAsia="Times New Roman" w:hAnsi="Calibri" w:cs="Calibri"/>
                <w:lang w:eastAsia="en-GB"/>
              </w:rPr>
            </w:pPr>
            <w:r w:rsidRPr="004170E9">
              <w:rPr>
                <w:rFonts w:ascii="Calibri" w:eastAsia="Times New Roman" w:hAnsi="Calibri" w:cs="Calibri"/>
                <w:lang w:eastAsia="en-GB"/>
              </w:rPr>
              <w:t>Wards including part of CENA</w:t>
            </w:r>
          </w:p>
        </w:tc>
      </w:tr>
      <w:tr w:rsidR="004170E9" w:rsidRPr="004170E9" w14:paraId="37E71500" w14:textId="77777777" w:rsidTr="004170E9">
        <w:trPr>
          <w:trHeight w:val="300"/>
        </w:trPr>
        <w:tc>
          <w:tcPr>
            <w:tcW w:w="17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D1B8A0E" w14:textId="77777777" w:rsidR="004170E9" w:rsidRPr="004170E9" w:rsidRDefault="004170E9" w:rsidP="004170E9">
            <w:pPr>
              <w:spacing w:after="0" w:line="240" w:lineRule="auto"/>
              <w:rPr>
                <w:rFonts w:ascii="Calibri" w:eastAsia="Times New Roman" w:hAnsi="Calibri" w:cs="Calibri"/>
                <w:lang w:eastAsia="en-GB"/>
              </w:rPr>
            </w:pPr>
            <w:r w:rsidRPr="004170E9">
              <w:rPr>
                <w:rFonts w:ascii="Calibri" w:eastAsia="Times New Roman" w:hAnsi="Calibri" w:cs="Calibri"/>
                <w:lang w:eastAsia="en-GB"/>
              </w:rPr>
              <w:t>Ealing Broadway</w:t>
            </w:r>
          </w:p>
        </w:tc>
        <w:tc>
          <w:tcPr>
            <w:tcW w:w="1870" w:type="dxa"/>
            <w:tcBorders>
              <w:top w:val="single" w:sz="8" w:space="0" w:color="auto"/>
              <w:left w:val="nil"/>
              <w:bottom w:val="single" w:sz="8" w:space="0" w:color="auto"/>
              <w:right w:val="single" w:sz="8" w:space="0" w:color="auto"/>
            </w:tcBorders>
            <w:shd w:val="clear" w:color="auto" w:fill="auto"/>
            <w:noWrap/>
            <w:vAlign w:val="bottom"/>
            <w:hideMark/>
          </w:tcPr>
          <w:p w14:paraId="748BF29B" w14:textId="77777777" w:rsidR="004170E9" w:rsidRPr="004170E9" w:rsidRDefault="004170E9" w:rsidP="004170E9">
            <w:pPr>
              <w:spacing w:after="0" w:line="240" w:lineRule="auto"/>
              <w:jc w:val="center"/>
              <w:rPr>
                <w:rFonts w:ascii="Arial" w:eastAsia="Times New Roman" w:hAnsi="Arial" w:cs="Arial"/>
                <w:sz w:val="20"/>
                <w:szCs w:val="20"/>
                <w:lang w:eastAsia="en-GB"/>
              </w:rPr>
            </w:pPr>
            <w:r w:rsidRPr="004170E9">
              <w:rPr>
                <w:rFonts w:ascii="Arial" w:eastAsia="Times New Roman" w:hAnsi="Arial" w:cs="Arial"/>
                <w:sz w:val="20"/>
                <w:szCs w:val="20"/>
                <w:lang w:eastAsia="en-GB"/>
              </w:rPr>
              <w:t>10799</w:t>
            </w:r>
          </w:p>
        </w:tc>
      </w:tr>
      <w:tr w:rsidR="004170E9" w:rsidRPr="004170E9" w14:paraId="137B7030" w14:textId="77777777" w:rsidTr="004170E9">
        <w:trPr>
          <w:trHeight w:val="300"/>
        </w:trPr>
        <w:tc>
          <w:tcPr>
            <w:tcW w:w="1720" w:type="dxa"/>
            <w:tcBorders>
              <w:top w:val="nil"/>
              <w:left w:val="single" w:sz="8" w:space="0" w:color="auto"/>
              <w:bottom w:val="single" w:sz="8" w:space="0" w:color="auto"/>
              <w:right w:val="single" w:sz="8" w:space="0" w:color="auto"/>
            </w:tcBorders>
            <w:shd w:val="clear" w:color="auto" w:fill="auto"/>
            <w:vAlign w:val="center"/>
            <w:hideMark/>
          </w:tcPr>
          <w:p w14:paraId="371D8208" w14:textId="77777777" w:rsidR="004170E9" w:rsidRPr="004170E9" w:rsidRDefault="004170E9" w:rsidP="004170E9">
            <w:pPr>
              <w:spacing w:after="0" w:line="240" w:lineRule="auto"/>
              <w:rPr>
                <w:rFonts w:ascii="Calibri" w:eastAsia="Times New Roman" w:hAnsi="Calibri" w:cs="Calibri"/>
                <w:lang w:eastAsia="en-GB"/>
              </w:rPr>
            </w:pPr>
            <w:r w:rsidRPr="004170E9">
              <w:rPr>
                <w:rFonts w:ascii="Calibri" w:eastAsia="Times New Roman" w:hAnsi="Calibri" w:cs="Calibri"/>
                <w:lang w:eastAsia="en-GB"/>
              </w:rPr>
              <w:t>Ealing Common</w:t>
            </w:r>
          </w:p>
        </w:tc>
        <w:tc>
          <w:tcPr>
            <w:tcW w:w="1870" w:type="dxa"/>
            <w:tcBorders>
              <w:top w:val="nil"/>
              <w:left w:val="nil"/>
              <w:bottom w:val="single" w:sz="8" w:space="0" w:color="auto"/>
              <w:right w:val="single" w:sz="8" w:space="0" w:color="auto"/>
            </w:tcBorders>
            <w:shd w:val="clear" w:color="auto" w:fill="auto"/>
            <w:noWrap/>
            <w:vAlign w:val="bottom"/>
            <w:hideMark/>
          </w:tcPr>
          <w:p w14:paraId="02124F5E" w14:textId="77777777" w:rsidR="004170E9" w:rsidRPr="004170E9" w:rsidRDefault="004170E9" w:rsidP="004170E9">
            <w:pPr>
              <w:spacing w:after="0" w:line="240" w:lineRule="auto"/>
              <w:jc w:val="center"/>
              <w:rPr>
                <w:rFonts w:ascii="Arial" w:eastAsia="Times New Roman" w:hAnsi="Arial" w:cs="Arial"/>
                <w:sz w:val="20"/>
                <w:szCs w:val="20"/>
                <w:lang w:eastAsia="en-GB"/>
              </w:rPr>
            </w:pPr>
            <w:r w:rsidRPr="004170E9">
              <w:rPr>
                <w:rFonts w:ascii="Arial" w:eastAsia="Times New Roman" w:hAnsi="Arial" w:cs="Arial"/>
                <w:sz w:val="20"/>
                <w:szCs w:val="20"/>
                <w:lang w:eastAsia="en-GB"/>
              </w:rPr>
              <w:t>10547</w:t>
            </w:r>
          </w:p>
        </w:tc>
      </w:tr>
      <w:tr w:rsidR="004170E9" w:rsidRPr="004170E9" w14:paraId="48CA215D" w14:textId="77777777" w:rsidTr="004170E9">
        <w:trPr>
          <w:trHeight w:val="300"/>
        </w:trPr>
        <w:tc>
          <w:tcPr>
            <w:tcW w:w="1720" w:type="dxa"/>
            <w:tcBorders>
              <w:top w:val="nil"/>
              <w:left w:val="single" w:sz="8" w:space="0" w:color="auto"/>
              <w:bottom w:val="single" w:sz="8" w:space="0" w:color="auto"/>
              <w:right w:val="single" w:sz="8" w:space="0" w:color="auto"/>
            </w:tcBorders>
            <w:shd w:val="clear" w:color="auto" w:fill="auto"/>
            <w:vAlign w:val="center"/>
            <w:hideMark/>
          </w:tcPr>
          <w:p w14:paraId="018BAD45" w14:textId="77777777" w:rsidR="004170E9" w:rsidRPr="004170E9" w:rsidRDefault="004170E9" w:rsidP="004170E9">
            <w:pPr>
              <w:spacing w:after="0" w:line="240" w:lineRule="auto"/>
              <w:rPr>
                <w:rFonts w:ascii="Calibri" w:eastAsia="Times New Roman" w:hAnsi="Calibri" w:cs="Calibri"/>
                <w:lang w:eastAsia="en-GB"/>
              </w:rPr>
            </w:pPr>
            <w:r w:rsidRPr="004170E9">
              <w:rPr>
                <w:rFonts w:ascii="Calibri" w:eastAsia="Times New Roman" w:hAnsi="Calibri" w:cs="Calibri"/>
                <w:lang w:eastAsia="en-GB"/>
              </w:rPr>
              <w:t>Walpole</w:t>
            </w:r>
          </w:p>
        </w:tc>
        <w:tc>
          <w:tcPr>
            <w:tcW w:w="1870" w:type="dxa"/>
            <w:tcBorders>
              <w:top w:val="nil"/>
              <w:left w:val="nil"/>
              <w:bottom w:val="single" w:sz="8" w:space="0" w:color="auto"/>
              <w:right w:val="single" w:sz="8" w:space="0" w:color="auto"/>
            </w:tcBorders>
            <w:shd w:val="clear" w:color="auto" w:fill="auto"/>
            <w:noWrap/>
            <w:vAlign w:val="bottom"/>
            <w:hideMark/>
          </w:tcPr>
          <w:p w14:paraId="6682F3A6" w14:textId="77777777" w:rsidR="004170E9" w:rsidRPr="004170E9" w:rsidRDefault="004170E9" w:rsidP="004170E9">
            <w:pPr>
              <w:spacing w:after="0" w:line="240" w:lineRule="auto"/>
              <w:jc w:val="center"/>
              <w:rPr>
                <w:rFonts w:ascii="Arial" w:eastAsia="Times New Roman" w:hAnsi="Arial" w:cs="Arial"/>
                <w:sz w:val="20"/>
                <w:szCs w:val="20"/>
                <w:lang w:eastAsia="en-GB"/>
              </w:rPr>
            </w:pPr>
            <w:r w:rsidRPr="004170E9">
              <w:rPr>
                <w:rFonts w:ascii="Arial" w:eastAsia="Times New Roman" w:hAnsi="Arial" w:cs="Arial"/>
                <w:sz w:val="20"/>
                <w:szCs w:val="20"/>
                <w:lang w:eastAsia="en-GB"/>
              </w:rPr>
              <w:t>9960</w:t>
            </w:r>
          </w:p>
        </w:tc>
      </w:tr>
      <w:tr w:rsidR="004170E9" w:rsidRPr="004170E9" w14:paraId="32C729C9" w14:textId="77777777" w:rsidTr="004170E9">
        <w:trPr>
          <w:trHeight w:val="300"/>
        </w:trPr>
        <w:tc>
          <w:tcPr>
            <w:tcW w:w="1720" w:type="dxa"/>
            <w:tcBorders>
              <w:top w:val="nil"/>
              <w:left w:val="single" w:sz="8" w:space="0" w:color="auto"/>
              <w:bottom w:val="nil"/>
              <w:right w:val="single" w:sz="8" w:space="0" w:color="auto"/>
            </w:tcBorders>
            <w:shd w:val="clear" w:color="auto" w:fill="auto"/>
            <w:vAlign w:val="center"/>
            <w:hideMark/>
          </w:tcPr>
          <w:p w14:paraId="0D6ECDF8" w14:textId="77777777" w:rsidR="004170E9" w:rsidRPr="004170E9" w:rsidRDefault="004170E9" w:rsidP="004170E9">
            <w:pPr>
              <w:spacing w:after="0" w:line="240" w:lineRule="auto"/>
              <w:rPr>
                <w:rFonts w:ascii="Calibri" w:eastAsia="Times New Roman" w:hAnsi="Calibri" w:cs="Calibri"/>
                <w:lang w:eastAsia="en-GB"/>
              </w:rPr>
            </w:pPr>
            <w:r w:rsidRPr="004170E9">
              <w:rPr>
                <w:rFonts w:ascii="Calibri" w:eastAsia="Times New Roman" w:hAnsi="Calibri" w:cs="Calibri"/>
                <w:lang w:eastAsia="en-GB"/>
              </w:rPr>
              <w:t>Hanger Hill</w:t>
            </w:r>
          </w:p>
        </w:tc>
        <w:tc>
          <w:tcPr>
            <w:tcW w:w="1870" w:type="dxa"/>
            <w:tcBorders>
              <w:top w:val="nil"/>
              <w:left w:val="nil"/>
              <w:bottom w:val="nil"/>
              <w:right w:val="single" w:sz="8" w:space="0" w:color="auto"/>
            </w:tcBorders>
            <w:shd w:val="clear" w:color="auto" w:fill="auto"/>
            <w:noWrap/>
            <w:vAlign w:val="bottom"/>
            <w:hideMark/>
          </w:tcPr>
          <w:p w14:paraId="6EE06D1F" w14:textId="77777777" w:rsidR="004170E9" w:rsidRPr="004170E9" w:rsidRDefault="004170E9" w:rsidP="004170E9">
            <w:pPr>
              <w:spacing w:after="0" w:line="240" w:lineRule="auto"/>
              <w:jc w:val="center"/>
              <w:rPr>
                <w:rFonts w:ascii="Arial" w:eastAsia="Times New Roman" w:hAnsi="Arial" w:cs="Arial"/>
                <w:sz w:val="20"/>
                <w:szCs w:val="20"/>
                <w:lang w:eastAsia="en-GB"/>
              </w:rPr>
            </w:pPr>
            <w:r w:rsidRPr="004170E9">
              <w:rPr>
                <w:rFonts w:ascii="Arial" w:eastAsia="Times New Roman" w:hAnsi="Arial" w:cs="Arial"/>
                <w:sz w:val="20"/>
                <w:szCs w:val="20"/>
                <w:lang w:eastAsia="en-GB"/>
              </w:rPr>
              <w:t>10822</w:t>
            </w:r>
          </w:p>
        </w:tc>
      </w:tr>
      <w:tr w:rsidR="004170E9" w:rsidRPr="004170E9" w14:paraId="6CF35DD9" w14:textId="77777777" w:rsidTr="004170E9">
        <w:trPr>
          <w:trHeight w:val="310"/>
        </w:trPr>
        <w:tc>
          <w:tcPr>
            <w:tcW w:w="1720" w:type="dxa"/>
            <w:tcBorders>
              <w:top w:val="single" w:sz="12" w:space="0" w:color="auto"/>
              <w:left w:val="single" w:sz="12" w:space="0" w:color="auto"/>
              <w:bottom w:val="single" w:sz="12" w:space="0" w:color="auto"/>
              <w:right w:val="single" w:sz="8" w:space="0" w:color="auto"/>
            </w:tcBorders>
            <w:shd w:val="clear" w:color="auto" w:fill="auto"/>
            <w:vAlign w:val="center"/>
            <w:hideMark/>
          </w:tcPr>
          <w:p w14:paraId="1D9AD0AC" w14:textId="77777777" w:rsidR="004170E9" w:rsidRPr="004170E9" w:rsidRDefault="004170E9" w:rsidP="004170E9">
            <w:pPr>
              <w:spacing w:after="0" w:line="240" w:lineRule="auto"/>
              <w:rPr>
                <w:rFonts w:ascii="Calibri" w:eastAsia="Times New Roman" w:hAnsi="Calibri" w:cs="Calibri"/>
                <w:lang w:eastAsia="en-GB"/>
              </w:rPr>
            </w:pPr>
            <w:r w:rsidRPr="004170E9">
              <w:rPr>
                <w:rFonts w:ascii="Calibri" w:eastAsia="Times New Roman" w:hAnsi="Calibri" w:cs="Calibri"/>
                <w:lang w:eastAsia="en-GB"/>
              </w:rPr>
              <w:t>Total</w:t>
            </w:r>
          </w:p>
        </w:tc>
        <w:tc>
          <w:tcPr>
            <w:tcW w:w="1870" w:type="dxa"/>
            <w:tcBorders>
              <w:top w:val="single" w:sz="12" w:space="0" w:color="auto"/>
              <w:left w:val="nil"/>
              <w:bottom w:val="single" w:sz="12" w:space="0" w:color="auto"/>
              <w:right w:val="single" w:sz="12" w:space="0" w:color="auto"/>
            </w:tcBorders>
            <w:shd w:val="clear" w:color="auto" w:fill="auto"/>
            <w:noWrap/>
            <w:vAlign w:val="bottom"/>
            <w:hideMark/>
          </w:tcPr>
          <w:p w14:paraId="5744295B" w14:textId="77777777" w:rsidR="004170E9" w:rsidRPr="004170E9" w:rsidRDefault="004170E9" w:rsidP="004170E9">
            <w:pPr>
              <w:spacing w:after="0" w:line="240" w:lineRule="auto"/>
              <w:jc w:val="center"/>
              <w:rPr>
                <w:rFonts w:ascii="Arial" w:eastAsia="Times New Roman" w:hAnsi="Arial" w:cs="Arial"/>
                <w:sz w:val="20"/>
                <w:szCs w:val="20"/>
                <w:lang w:eastAsia="en-GB"/>
              </w:rPr>
            </w:pPr>
            <w:r w:rsidRPr="004170E9">
              <w:rPr>
                <w:rFonts w:ascii="Arial" w:eastAsia="Times New Roman" w:hAnsi="Arial" w:cs="Arial"/>
                <w:sz w:val="20"/>
                <w:szCs w:val="20"/>
                <w:lang w:eastAsia="en-GB"/>
              </w:rPr>
              <w:t>42128</w:t>
            </w:r>
          </w:p>
        </w:tc>
      </w:tr>
      <w:tr w:rsidR="004170E9" w:rsidRPr="004170E9" w14:paraId="55F2E25D" w14:textId="77777777" w:rsidTr="004170E9">
        <w:trPr>
          <w:trHeight w:val="310"/>
        </w:trPr>
        <w:tc>
          <w:tcPr>
            <w:tcW w:w="3590" w:type="dxa"/>
            <w:gridSpan w:val="2"/>
            <w:tcBorders>
              <w:top w:val="nil"/>
              <w:left w:val="single" w:sz="8" w:space="0" w:color="auto"/>
              <w:bottom w:val="single" w:sz="8" w:space="0" w:color="auto"/>
              <w:right w:val="nil"/>
            </w:tcBorders>
            <w:shd w:val="clear" w:color="auto" w:fill="auto"/>
            <w:noWrap/>
            <w:vAlign w:val="center"/>
            <w:hideMark/>
          </w:tcPr>
          <w:p w14:paraId="4F644D36" w14:textId="77777777" w:rsidR="004170E9" w:rsidRPr="004170E9" w:rsidRDefault="004170E9" w:rsidP="004170E9">
            <w:pPr>
              <w:spacing w:after="0" w:line="240" w:lineRule="auto"/>
              <w:jc w:val="center"/>
              <w:rPr>
                <w:rFonts w:ascii="Calibri" w:eastAsia="Times New Roman" w:hAnsi="Calibri" w:cs="Calibri"/>
                <w:lang w:eastAsia="en-GB"/>
              </w:rPr>
            </w:pPr>
            <w:r w:rsidRPr="004170E9">
              <w:rPr>
                <w:rFonts w:ascii="Calibri" w:eastAsia="Times New Roman" w:hAnsi="Calibri" w:cs="Calibri"/>
                <w:lang w:eastAsia="en-GB"/>
              </w:rPr>
              <w:t>Other Ealing wards</w:t>
            </w:r>
          </w:p>
        </w:tc>
      </w:tr>
      <w:tr w:rsidR="004170E9" w:rsidRPr="004170E9" w14:paraId="215461FD" w14:textId="77777777" w:rsidTr="004170E9">
        <w:trPr>
          <w:trHeight w:val="300"/>
        </w:trPr>
        <w:tc>
          <w:tcPr>
            <w:tcW w:w="17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1E2EA24" w14:textId="77777777" w:rsidR="004170E9" w:rsidRPr="004170E9" w:rsidRDefault="004170E9" w:rsidP="004170E9">
            <w:pPr>
              <w:spacing w:after="0" w:line="240" w:lineRule="auto"/>
              <w:rPr>
                <w:rFonts w:ascii="Calibri" w:eastAsia="Times New Roman" w:hAnsi="Calibri" w:cs="Calibri"/>
                <w:lang w:eastAsia="en-GB"/>
              </w:rPr>
            </w:pPr>
            <w:r w:rsidRPr="004170E9">
              <w:rPr>
                <w:rFonts w:ascii="Calibri" w:eastAsia="Times New Roman" w:hAnsi="Calibri" w:cs="Calibri"/>
                <w:lang w:eastAsia="en-GB"/>
              </w:rPr>
              <w:t>Cleveland</w:t>
            </w:r>
          </w:p>
        </w:tc>
        <w:tc>
          <w:tcPr>
            <w:tcW w:w="1870" w:type="dxa"/>
            <w:tcBorders>
              <w:top w:val="nil"/>
              <w:left w:val="nil"/>
              <w:bottom w:val="single" w:sz="8" w:space="0" w:color="auto"/>
              <w:right w:val="single" w:sz="8" w:space="0" w:color="auto"/>
            </w:tcBorders>
            <w:shd w:val="clear" w:color="auto" w:fill="auto"/>
            <w:noWrap/>
            <w:vAlign w:val="bottom"/>
            <w:hideMark/>
          </w:tcPr>
          <w:p w14:paraId="593D578B" w14:textId="77777777" w:rsidR="004170E9" w:rsidRPr="004170E9" w:rsidRDefault="004170E9" w:rsidP="004170E9">
            <w:pPr>
              <w:spacing w:after="0" w:line="240" w:lineRule="auto"/>
              <w:jc w:val="center"/>
              <w:rPr>
                <w:rFonts w:ascii="Arial" w:eastAsia="Times New Roman" w:hAnsi="Arial" w:cs="Arial"/>
                <w:sz w:val="20"/>
                <w:szCs w:val="20"/>
                <w:lang w:eastAsia="en-GB"/>
              </w:rPr>
            </w:pPr>
            <w:r w:rsidRPr="004170E9">
              <w:rPr>
                <w:rFonts w:ascii="Arial" w:eastAsia="Times New Roman" w:hAnsi="Arial" w:cs="Arial"/>
                <w:sz w:val="20"/>
                <w:szCs w:val="20"/>
                <w:lang w:eastAsia="en-GB"/>
              </w:rPr>
              <w:t>10791</w:t>
            </w:r>
          </w:p>
        </w:tc>
      </w:tr>
      <w:tr w:rsidR="004170E9" w:rsidRPr="004170E9" w14:paraId="0D12ECFE" w14:textId="77777777" w:rsidTr="004170E9">
        <w:trPr>
          <w:trHeight w:val="300"/>
        </w:trPr>
        <w:tc>
          <w:tcPr>
            <w:tcW w:w="1720" w:type="dxa"/>
            <w:tcBorders>
              <w:top w:val="nil"/>
              <w:left w:val="single" w:sz="8" w:space="0" w:color="auto"/>
              <w:bottom w:val="nil"/>
              <w:right w:val="single" w:sz="8" w:space="0" w:color="auto"/>
            </w:tcBorders>
            <w:shd w:val="clear" w:color="auto" w:fill="auto"/>
            <w:vAlign w:val="center"/>
            <w:hideMark/>
          </w:tcPr>
          <w:p w14:paraId="3D3FEF5E" w14:textId="77777777" w:rsidR="004170E9" w:rsidRPr="004170E9" w:rsidRDefault="004170E9" w:rsidP="004170E9">
            <w:pPr>
              <w:spacing w:after="0" w:line="240" w:lineRule="auto"/>
              <w:rPr>
                <w:rFonts w:ascii="Calibri" w:eastAsia="Times New Roman" w:hAnsi="Calibri" w:cs="Calibri"/>
                <w:lang w:eastAsia="en-GB"/>
              </w:rPr>
            </w:pPr>
            <w:r w:rsidRPr="004170E9">
              <w:rPr>
                <w:rFonts w:ascii="Calibri" w:eastAsia="Times New Roman" w:hAnsi="Calibri" w:cs="Calibri"/>
                <w:lang w:eastAsia="en-GB"/>
              </w:rPr>
              <w:t>Northfield</w:t>
            </w:r>
          </w:p>
        </w:tc>
        <w:tc>
          <w:tcPr>
            <w:tcW w:w="1870" w:type="dxa"/>
            <w:tcBorders>
              <w:top w:val="nil"/>
              <w:left w:val="nil"/>
              <w:bottom w:val="nil"/>
              <w:right w:val="single" w:sz="8" w:space="0" w:color="auto"/>
            </w:tcBorders>
            <w:shd w:val="clear" w:color="auto" w:fill="auto"/>
            <w:noWrap/>
            <w:vAlign w:val="bottom"/>
            <w:hideMark/>
          </w:tcPr>
          <w:p w14:paraId="58CEB56D" w14:textId="77777777" w:rsidR="004170E9" w:rsidRPr="004170E9" w:rsidRDefault="004170E9" w:rsidP="004170E9">
            <w:pPr>
              <w:spacing w:after="0" w:line="240" w:lineRule="auto"/>
              <w:jc w:val="center"/>
              <w:rPr>
                <w:rFonts w:ascii="Arial" w:eastAsia="Times New Roman" w:hAnsi="Arial" w:cs="Arial"/>
                <w:sz w:val="20"/>
                <w:szCs w:val="20"/>
                <w:lang w:eastAsia="en-GB"/>
              </w:rPr>
            </w:pPr>
            <w:r w:rsidRPr="004170E9">
              <w:rPr>
                <w:rFonts w:ascii="Arial" w:eastAsia="Times New Roman" w:hAnsi="Arial" w:cs="Arial"/>
                <w:sz w:val="20"/>
                <w:szCs w:val="20"/>
                <w:lang w:eastAsia="en-GB"/>
              </w:rPr>
              <w:t>10179</w:t>
            </w:r>
          </w:p>
        </w:tc>
      </w:tr>
      <w:tr w:rsidR="004170E9" w:rsidRPr="004170E9" w14:paraId="37FD0476" w14:textId="77777777" w:rsidTr="004170E9">
        <w:trPr>
          <w:trHeight w:val="310"/>
        </w:trPr>
        <w:tc>
          <w:tcPr>
            <w:tcW w:w="1720" w:type="dxa"/>
            <w:tcBorders>
              <w:top w:val="single" w:sz="12" w:space="0" w:color="auto"/>
              <w:left w:val="single" w:sz="12" w:space="0" w:color="auto"/>
              <w:bottom w:val="single" w:sz="12" w:space="0" w:color="auto"/>
              <w:right w:val="single" w:sz="8" w:space="0" w:color="auto"/>
            </w:tcBorders>
            <w:shd w:val="clear" w:color="auto" w:fill="auto"/>
            <w:vAlign w:val="center"/>
            <w:hideMark/>
          </w:tcPr>
          <w:p w14:paraId="2A1A904F" w14:textId="77777777" w:rsidR="004170E9" w:rsidRPr="004170E9" w:rsidRDefault="004170E9" w:rsidP="004170E9">
            <w:pPr>
              <w:spacing w:after="0" w:line="240" w:lineRule="auto"/>
              <w:rPr>
                <w:rFonts w:ascii="Calibri" w:eastAsia="Times New Roman" w:hAnsi="Calibri" w:cs="Calibri"/>
                <w:lang w:eastAsia="en-GB"/>
              </w:rPr>
            </w:pPr>
            <w:r w:rsidRPr="004170E9">
              <w:rPr>
                <w:rFonts w:ascii="Calibri" w:eastAsia="Times New Roman" w:hAnsi="Calibri" w:cs="Calibri"/>
                <w:lang w:eastAsia="en-GB"/>
              </w:rPr>
              <w:t>Total</w:t>
            </w:r>
          </w:p>
        </w:tc>
        <w:tc>
          <w:tcPr>
            <w:tcW w:w="1870" w:type="dxa"/>
            <w:tcBorders>
              <w:top w:val="single" w:sz="12" w:space="0" w:color="auto"/>
              <w:left w:val="nil"/>
              <w:bottom w:val="single" w:sz="12" w:space="0" w:color="auto"/>
              <w:right w:val="single" w:sz="12" w:space="0" w:color="auto"/>
            </w:tcBorders>
            <w:shd w:val="clear" w:color="auto" w:fill="auto"/>
            <w:vAlign w:val="center"/>
            <w:hideMark/>
          </w:tcPr>
          <w:p w14:paraId="581EFDD7" w14:textId="77777777" w:rsidR="004170E9" w:rsidRPr="004170E9" w:rsidRDefault="004170E9" w:rsidP="004170E9">
            <w:pPr>
              <w:spacing w:after="0" w:line="240" w:lineRule="auto"/>
              <w:jc w:val="center"/>
              <w:rPr>
                <w:rFonts w:ascii="Calibri" w:eastAsia="Times New Roman" w:hAnsi="Calibri" w:cs="Calibri"/>
                <w:lang w:eastAsia="en-GB"/>
              </w:rPr>
            </w:pPr>
            <w:r w:rsidRPr="004170E9">
              <w:rPr>
                <w:rFonts w:ascii="Calibri" w:eastAsia="Times New Roman" w:hAnsi="Calibri" w:cs="Calibri"/>
                <w:lang w:eastAsia="en-GB"/>
              </w:rPr>
              <w:t>20970</w:t>
            </w:r>
          </w:p>
        </w:tc>
      </w:tr>
      <w:tr w:rsidR="004170E9" w:rsidRPr="004170E9" w14:paraId="627CFC14" w14:textId="77777777" w:rsidTr="004170E9">
        <w:trPr>
          <w:trHeight w:val="310"/>
        </w:trPr>
        <w:tc>
          <w:tcPr>
            <w:tcW w:w="1720" w:type="dxa"/>
            <w:tcBorders>
              <w:top w:val="nil"/>
              <w:left w:val="nil"/>
              <w:bottom w:val="nil"/>
              <w:right w:val="nil"/>
            </w:tcBorders>
            <w:shd w:val="clear" w:color="auto" w:fill="auto"/>
            <w:vAlign w:val="center"/>
            <w:hideMark/>
          </w:tcPr>
          <w:p w14:paraId="00A0F72A" w14:textId="77777777" w:rsidR="004170E9" w:rsidRPr="004170E9" w:rsidRDefault="004170E9" w:rsidP="004170E9">
            <w:pPr>
              <w:spacing w:after="0" w:line="240" w:lineRule="auto"/>
              <w:rPr>
                <w:rFonts w:ascii="Calibri" w:eastAsia="Times New Roman" w:hAnsi="Calibri" w:cs="Calibri"/>
                <w:lang w:eastAsia="en-GB"/>
              </w:rPr>
            </w:pPr>
            <w:r w:rsidRPr="004170E9">
              <w:rPr>
                <w:rFonts w:ascii="Calibri" w:eastAsia="Times New Roman" w:hAnsi="Calibri" w:cs="Calibri"/>
                <w:lang w:eastAsia="en-GB"/>
              </w:rPr>
              <w:t> </w:t>
            </w:r>
          </w:p>
        </w:tc>
        <w:tc>
          <w:tcPr>
            <w:tcW w:w="1870" w:type="dxa"/>
            <w:tcBorders>
              <w:top w:val="nil"/>
              <w:left w:val="nil"/>
              <w:bottom w:val="nil"/>
              <w:right w:val="nil"/>
            </w:tcBorders>
            <w:shd w:val="clear" w:color="auto" w:fill="auto"/>
            <w:vAlign w:val="center"/>
            <w:hideMark/>
          </w:tcPr>
          <w:p w14:paraId="3A36C6FF" w14:textId="77777777" w:rsidR="004170E9" w:rsidRPr="004170E9" w:rsidRDefault="004170E9" w:rsidP="004170E9">
            <w:pPr>
              <w:spacing w:after="0" w:line="240" w:lineRule="auto"/>
              <w:jc w:val="center"/>
              <w:rPr>
                <w:rFonts w:ascii="Calibri" w:eastAsia="Times New Roman" w:hAnsi="Calibri" w:cs="Calibri"/>
                <w:lang w:eastAsia="en-GB"/>
              </w:rPr>
            </w:pPr>
          </w:p>
        </w:tc>
      </w:tr>
      <w:tr w:rsidR="004170E9" w:rsidRPr="004170E9" w14:paraId="5E86C6EA" w14:textId="77777777" w:rsidTr="004170E9">
        <w:trPr>
          <w:trHeight w:val="300"/>
        </w:trPr>
        <w:tc>
          <w:tcPr>
            <w:tcW w:w="17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FDF6F98" w14:textId="77777777" w:rsidR="004170E9" w:rsidRPr="004170E9" w:rsidRDefault="004170E9" w:rsidP="004170E9">
            <w:pPr>
              <w:spacing w:after="0" w:line="240" w:lineRule="auto"/>
              <w:rPr>
                <w:rFonts w:ascii="Calibri" w:eastAsia="Times New Roman" w:hAnsi="Calibri" w:cs="Calibri"/>
                <w:b/>
                <w:bCs/>
                <w:lang w:eastAsia="en-GB"/>
              </w:rPr>
            </w:pPr>
            <w:r w:rsidRPr="004170E9">
              <w:rPr>
                <w:rFonts w:ascii="Calibri" w:eastAsia="Times New Roman" w:hAnsi="Calibri" w:cs="Calibri"/>
                <w:b/>
                <w:bCs/>
                <w:lang w:eastAsia="en-GB"/>
              </w:rPr>
              <w:t>Total all</w:t>
            </w:r>
          </w:p>
        </w:tc>
        <w:tc>
          <w:tcPr>
            <w:tcW w:w="1870" w:type="dxa"/>
            <w:tcBorders>
              <w:top w:val="single" w:sz="8" w:space="0" w:color="auto"/>
              <w:left w:val="nil"/>
              <w:bottom w:val="single" w:sz="8" w:space="0" w:color="auto"/>
              <w:right w:val="single" w:sz="8" w:space="0" w:color="auto"/>
            </w:tcBorders>
            <w:shd w:val="clear" w:color="auto" w:fill="auto"/>
            <w:noWrap/>
            <w:vAlign w:val="bottom"/>
            <w:hideMark/>
          </w:tcPr>
          <w:p w14:paraId="69C8FC5F" w14:textId="77777777" w:rsidR="004170E9" w:rsidRPr="004170E9" w:rsidRDefault="004170E9" w:rsidP="004170E9">
            <w:pPr>
              <w:spacing w:after="0" w:line="240" w:lineRule="auto"/>
              <w:jc w:val="center"/>
              <w:rPr>
                <w:rFonts w:ascii="Arial" w:eastAsia="Times New Roman" w:hAnsi="Arial" w:cs="Arial"/>
                <w:b/>
                <w:bCs/>
                <w:sz w:val="20"/>
                <w:szCs w:val="20"/>
                <w:lang w:eastAsia="en-GB"/>
              </w:rPr>
            </w:pPr>
            <w:r w:rsidRPr="004170E9">
              <w:rPr>
                <w:rFonts w:ascii="Arial" w:eastAsia="Times New Roman" w:hAnsi="Arial" w:cs="Arial"/>
                <w:b/>
                <w:bCs/>
                <w:sz w:val="20"/>
                <w:szCs w:val="20"/>
                <w:lang w:eastAsia="en-GB"/>
              </w:rPr>
              <w:t>63098</w:t>
            </w:r>
          </w:p>
        </w:tc>
      </w:tr>
    </w:tbl>
    <w:p w14:paraId="52F2C3C7" w14:textId="77777777" w:rsidR="004F7F04" w:rsidRDefault="004F7F04" w:rsidP="008C1466">
      <w:pPr>
        <w:rPr>
          <w:b/>
        </w:rPr>
      </w:pPr>
    </w:p>
    <w:p w14:paraId="1707D515" w14:textId="405890E9" w:rsidR="00CA3D9E" w:rsidRDefault="00CA3D9E" w:rsidP="008C1466">
      <w:pPr>
        <w:rPr>
          <w:b/>
        </w:rPr>
      </w:pPr>
      <w:r>
        <w:rPr>
          <w:b/>
        </w:rPr>
        <w:t>Consideration of options</w:t>
      </w:r>
    </w:p>
    <w:p w14:paraId="41FD5DFC" w14:textId="49472063" w:rsidR="006802D1" w:rsidRDefault="006802D1" w:rsidP="008C1466">
      <w:r>
        <w:t>Option 1</w:t>
      </w:r>
      <w:r>
        <w:tab/>
      </w:r>
      <w:r w:rsidR="00A254BE">
        <w:t xml:space="preserve">This option avoids the </w:t>
      </w:r>
      <w:r>
        <w:t xml:space="preserve">logistical difficulties </w:t>
      </w:r>
      <w:r w:rsidR="00A254BE">
        <w:t>of restricting the referendum to the neighbourhood area, which</w:t>
      </w:r>
      <w:r>
        <w:t xml:space="preserve"> </w:t>
      </w:r>
      <w:r w:rsidR="00A67E4F">
        <w:t>as noted is</w:t>
      </w:r>
      <w:r>
        <w:t xml:space="preserve"> </w:t>
      </w:r>
      <w:r w:rsidR="00A67E4F">
        <w:t xml:space="preserve">administratively difficult and </w:t>
      </w:r>
      <w:r>
        <w:t>unnecessarily costly</w:t>
      </w:r>
      <w:r w:rsidR="00A67E4F">
        <w:t>.</w:t>
      </w:r>
      <w:r>
        <w:t xml:space="preserve"> </w:t>
      </w:r>
      <w:r w:rsidR="00A67E4F">
        <w:t>Residential areas close to the centre are the ones most likely to be significantly impacted by the plan proposals</w:t>
      </w:r>
      <w:r w:rsidR="00E057FE">
        <w:t>.</w:t>
      </w:r>
      <w:r w:rsidR="00A67E4F">
        <w:t xml:space="preserve"> In the case of Hanger Hill FGA PD, it would also be hard to justify denying a vote for anyone within the area, even if it were only one person or business</w:t>
      </w:r>
      <w:r w:rsidR="00E057FE">
        <w:t>, so this would be included</w:t>
      </w:r>
      <w:r w:rsidR="00A67E4F">
        <w:t>.</w:t>
      </w:r>
    </w:p>
    <w:p w14:paraId="1F4A58ED" w14:textId="5A580F21" w:rsidR="006802D1" w:rsidRDefault="006802D1" w:rsidP="008C1466">
      <w:r>
        <w:t>Opition2</w:t>
      </w:r>
      <w:r>
        <w:tab/>
      </w:r>
      <w:r w:rsidR="00A67E4F">
        <w:t xml:space="preserve">Although it could be argued that there will be </w:t>
      </w:r>
      <w:r w:rsidR="00ED4A65">
        <w:t>some</w:t>
      </w:r>
      <w:r w:rsidR="00A67E4F">
        <w:t xml:space="preserve"> impact across the entire borough, </w:t>
      </w:r>
      <w:r w:rsidR="00ED4A65">
        <w:t>t</w:t>
      </w:r>
      <w:r w:rsidR="00A67E4F">
        <w:t xml:space="preserve">his </w:t>
      </w:r>
      <w:r w:rsidR="00ED4A65">
        <w:t>will be largely indirect. It has therefore</w:t>
      </w:r>
      <w:r w:rsidR="00A67E4F">
        <w:t xml:space="preserve"> been discounted as going far beyond the area where CENP could be considered as having ‘</w:t>
      </w:r>
      <w:r w:rsidR="00A67E4F" w:rsidRPr="008C1466">
        <w:t>a substantial, direct and demonstrable impact</w:t>
      </w:r>
      <w:r w:rsidR="00A67E4F">
        <w:t>’.</w:t>
      </w:r>
    </w:p>
    <w:p w14:paraId="40364B6E" w14:textId="5A7FA7B2" w:rsidR="006802D1" w:rsidRDefault="006802D1" w:rsidP="008C1466">
      <w:r>
        <w:t>Option 3</w:t>
      </w:r>
      <w:r>
        <w:tab/>
      </w:r>
      <w:r w:rsidR="00ED4A65">
        <w:t>T</w:t>
      </w:r>
      <w:r>
        <w:t xml:space="preserve">he peripheral Ealing wards of Cleveland and Northfield </w:t>
      </w:r>
      <w:r w:rsidR="00ED4A65">
        <w:t>do not seem to</w:t>
      </w:r>
      <w:r>
        <w:t xml:space="preserve"> qualify under the same test</w:t>
      </w:r>
      <w:r w:rsidR="00ED4A65">
        <w:t>. Cleveland is more likely to be orientated towards West Ealing, while Northfield has its own quite substantial local shopping frontages, as well as being on the east-west underground service. T</w:t>
      </w:r>
      <w:r>
        <w:t xml:space="preserve">here have been virtually no responses from these </w:t>
      </w:r>
      <w:r w:rsidR="00ED4A65">
        <w:t xml:space="preserve">two </w:t>
      </w:r>
      <w:r>
        <w:t>areas to the public consultations.</w:t>
      </w:r>
    </w:p>
    <w:p w14:paraId="5C7FA0BF" w14:textId="2218D334" w:rsidR="003317F9" w:rsidRPr="009D5C8C" w:rsidRDefault="00AA264C" w:rsidP="006802D1">
      <w:pPr>
        <w:rPr>
          <w:sz w:val="18"/>
          <w:szCs w:val="18"/>
        </w:rPr>
      </w:pPr>
      <w:r>
        <w:rPr>
          <w:noProof/>
          <w:lang w:eastAsia="en-GB"/>
        </w:rPr>
        <w:drawing>
          <wp:anchor distT="0" distB="0" distL="114300" distR="114300" simplePos="0" relativeHeight="251659264" behindDoc="1" locked="0" layoutInCell="1" allowOverlap="1" wp14:anchorId="79B6433B" wp14:editId="3EECFAC5">
            <wp:simplePos x="0" y="0"/>
            <wp:positionH relativeFrom="column">
              <wp:posOffset>-227518</wp:posOffset>
            </wp:positionH>
            <wp:positionV relativeFrom="paragraph">
              <wp:posOffset>570724</wp:posOffset>
            </wp:positionV>
            <wp:extent cx="4767580" cy="6743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ighbourhood Plan referendum area proposal.jpg"/>
                    <pic:cNvPicPr/>
                  </pic:nvPicPr>
                  <pic:blipFill>
                    <a:blip r:embed="rId9">
                      <a:extLst>
                        <a:ext uri="{28A0092B-C50C-407E-A947-70E740481C1C}">
                          <a14:useLocalDpi xmlns:a14="http://schemas.microsoft.com/office/drawing/2010/main" val="0"/>
                        </a:ext>
                      </a:extLst>
                    </a:blip>
                    <a:stretch>
                      <a:fillRect/>
                    </a:stretch>
                  </pic:blipFill>
                  <pic:spPr>
                    <a:xfrm>
                      <a:off x="0" y="0"/>
                      <a:ext cx="4767580" cy="6743700"/>
                    </a:xfrm>
                    <a:prstGeom prst="rect">
                      <a:avLst/>
                    </a:prstGeom>
                  </pic:spPr>
                </pic:pic>
              </a:graphicData>
            </a:graphic>
          </wp:anchor>
        </w:drawing>
      </w:r>
      <w:r w:rsidR="006802D1">
        <w:t>Option 4</w:t>
      </w:r>
      <w:r w:rsidR="006802D1">
        <w:tab/>
      </w:r>
      <w:r w:rsidR="004170E9">
        <w:t>The remaining option</w:t>
      </w:r>
      <w:r w:rsidR="00E057FE">
        <w:t xml:space="preserve"> incorporates a wider band </w:t>
      </w:r>
      <w:r w:rsidR="00A254BE">
        <w:t>around the centre than Option 1, with</w:t>
      </w:r>
      <w:r w:rsidR="00E057FE">
        <w:t xml:space="preserve"> residential properties </w:t>
      </w:r>
      <w:r w:rsidR="00A254BE">
        <w:t>which will see much less direct impact from the plan. It also adds some</w:t>
      </w:r>
      <w:r w:rsidR="00E057FE">
        <w:t xml:space="preserve"> businesses</w:t>
      </w:r>
      <w:r w:rsidR="00A254BE">
        <w:t xml:space="preserve"> north of the A40 which have little or no connection with the centre</w:t>
      </w:r>
      <w:r w:rsidR="00E057FE">
        <w:t xml:space="preserve">. </w:t>
      </w:r>
      <w:r w:rsidR="00A254BE">
        <w:t>The option</w:t>
      </w:r>
      <w:r w:rsidR="00E057FE">
        <w:t xml:space="preserve"> is not an</w:t>
      </w:r>
      <w:r w:rsidR="00A254BE">
        <w:t>y</w:t>
      </w:r>
      <w:r w:rsidR="00E057FE">
        <w:t xml:space="preserve"> simpler administratively</w:t>
      </w:r>
      <w:r w:rsidR="00A254BE">
        <w:t xml:space="preserve">. </w:t>
      </w:r>
      <w:r w:rsidR="009D5C8C" w:rsidRPr="009D5C8C">
        <w:t xml:space="preserve">Excluding </w:t>
      </w:r>
      <w:r w:rsidR="009D5C8C">
        <w:t xml:space="preserve">these </w:t>
      </w:r>
      <w:r w:rsidR="009D5C8C" w:rsidRPr="009D5C8C">
        <w:t>PDs</w:t>
      </w:r>
      <w:r w:rsidR="009D5C8C">
        <w:t>,</w:t>
      </w:r>
      <w:r w:rsidR="009D5C8C" w:rsidRPr="009D5C8C">
        <w:t xml:space="preserve"> which are further away and which do not appear to meet the suggested test, is more justifiable</w:t>
      </w:r>
    </w:p>
    <w:p w14:paraId="3C500EED" w14:textId="27772D7D" w:rsidR="009D5C8C" w:rsidRDefault="003317F9" w:rsidP="008C1466">
      <w:r>
        <w:t xml:space="preserve">On the balance of </w:t>
      </w:r>
      <w:r w:rsidR="009D5C8C">
        <w:t xml:space="preserve">arguments </w:t>
      </w:r>
      <w:r w:rsidR="00D13C79">
        <w:t>the Forum management committee</w:t>
      </w:r>
      <w:r w:rsidR="009D5C8C">
        <w:t xml:space="preserve"> agreed to recommend Option 1.</w:t>
      </w:r>
    </w:p>
    <w:p w14:paraId="245D1A68" w14:textId="77777777" w:rsidR="00AA264C" w:rsidRDefault="00AA264C">
      <w:pPr>
        <w:rPr>
          <w:sz w:val="20"/>
          <w:szCs w:val="20"/>
        </w:rPr>
      </w:pPr>
      <w:r w:rsidRPr="00AA264C">
        <w:rPr>
          <w:sz w:val="20"/>
          <w:szCs w:val="20"/>
        </w:rPr>
        <w:t>Map: Proposed referendum area</w:t>
      </w:r>
    </w:p>
    <w:p w14:paraId="56A12318" w14:textId="77777777" w:rsidR="00AA264C" w:rsidRDefault="00AA264C">
      <w:pPr>
        <w:rPr>
          <w:sz w:val="20"/>
          <w:szCs w:val="20"/>
        </w:rPr>
      </w:pPr>
    </w:p>
    <w:p w14:paraId="7ECC4461" w14:textId="77777777" w:rsidR="00AA264C" w:rsidRDefault="00AA264C">
      <w:pPr>
        <w:rPr>
          <w:sz w:val="20"/>
          <w:szCs w:val="20"/>
        </w:rPr>
      </w:pPr>
    </w:p>
    <w:p w14:paraId="7D683652" w14:textId="77777777" w:rsidR="00AA264C" w:rsidRDefault="00AA264C">
      <w:pPr>
        <w:rPr>
          <w:sz w:val="20"/>
          <w:szCs w:val="20"/>
        </w:rPr>
      </w:pPr>
    </w:p>
    <w:p w14:paraId="21F8D603" w14:textId="77777777" w:rsidR="00AA264C" w:rsidRDefault="00AA264C">
      <w:pPr>
        <w:rPr>
          <w:sz w:val="20"/>
          <w:szCs w:val="20"/>
        </w:rPr>
      </w:pPr>
    </w:p>
    <w:p w14:paraId="6236EC0F" w14:textId="77777777" w:rsidR="00AA264C" w:rsidRDefault="00AA264C">
      <w:pPr>
        <w:rPr>
          <w:sz w:val="20"/>
          <w:szCs w:val="20"/>
        </w:rPr>
      </w:pPr>
    </w:p>
    <w:p w14:paraId="700AD36A" w14:textId="77777777" w:rsidR="00AA264C" w:rsidRDefault="00AA264C">
      <w:pPr>
        <w:rPr>
          <w:sz w:val="20"/>
          <w:szCs w:val="20"/>
        </w:rPr>
      </w:pPr>
    </w:p>
    <w:p w14:paraId="6A5D6CC9" w14:textId="77777777" w:rsidR="00AA264C" w:rsidRDefault="00AA264C">
      <w:pPr>
        <w:rPr>
          <w:sz w:val="20"/>
          <w:szCs w:val="20"/>
        </w:rPr>
      </w:pPr>
    </w:p>
    <w:p w14:paraId="1D234EC9" w14:textId="77777777" w:rsidR="00AA264C" w:rsidRDefault="00AA264C">
      <w:pPr>
        <w:rPr>
          <w:sz w:val="20"/>
          <w:szCs w:val="20"/>
        </w:rPr>
      </w:pPr>
    </w:p>
    <w:p w14:paraId="6E9240D8" w14:textId="77777777" w:rsidR="00AA264C" w:rsidRDefault="00AA264C">
      <w:pPr>
        <w:rPr>
          <w:sz w:val="20"/>
          <w:szCs w:val="20"/>
        </w:rPr>
      </w:pPr>
    </w:p>
    <w:p w14:paraId="7BCE97C6" w14:textId="77777777" w:rsidR="00AA264C" w:rsidRDefault="00AA264C">
      <w:pPr>
        <w:rPr>
          <w:sz w:val="20"/>
          <w:szCs w:val="20"/>
        </w:rPr>
      </w:pPr>
    </w:p>
    <w:p w14:paraId="3FA18A21" w14:textId="77777777" w:rsidR="00AA264C" w:rsidRDefault="00AA264C">
      <w:pPr>
        <w:rPr>
          <w:sz w:val="20"/>
          <w:szCs w:val="20"/>
        </w:rPr>
      </w:pPr>
    </w:p>
    <w:p w14:paraId="333CEFED" w14:textId="77777777" w:rsidR="00AA264C" w:rsidRDefault="00AA264C">
      <w:pPr>
        <w:rPr>
          <w:sz w:val="20"/>
          <w:szCs w:val="20"/>
        </w:rPr>
      </w:pPr>
    </w:p>
    <w:p w14:paraId="43CD2C11" w14:textId="77777777" w:rsidR="00AA264C" w:rsidRDefault="00AA264C">
      <w:pPr>
        <w:rPr>
          <w:sz w:val="20"/>
          <w:szCs w:val="20"/>
        </w:rPr>
      </w:pPr>
    </w:p>
    <w:p w14:paraId="31206144" w14:textId="77777777" w:rsidR="00AA264C" w:rsidRDefault="00AA264C">
      <w:pPr>
        <w:rPr>
          <w:sz w:val="20"/>
          <w:szCs w:val="20"/>
        </w:rPr>
      </w:pPr>
    </w:p>
    <w:p w14:paraId="4240466B" w14:textId="77777777" w:rsidR="00AA264C" w:rsidRDefault="00AA264C">
      <w:pPr>
        <w:rPr>
          <w:sz w:val="20"/>
          <w:szCs w:val="20"/>
        </w:rPr>
      </w:pPr>
    </w:p>
    <w:p w14:paraId="36DA531C" w14:textId="77777777" w:rsidR="00AA264C" w:rsidRDefault="00AA264C">
      <w:pPr>
        <w:rPr>
          <w:sz w:val="20"/>
          <w:szCs w:val="20"/>
        </w:rPr>
      </w:pPr>
    </w:p>
    <w:p w14:paraId="70B323A6" w14:textId="77777777" w:rsidR="00AA264C" w:rsidRDefault="00AA264C">
      <w:pPr>
        <w:rPr>
          <w:sz w:val="20"/>
          <w:szCs w:val="20"/>
        </w:rPr>
      </w:pPr>
    </w:p>
    <w:p w14:paraId="236B8647" w14:textId="77777777" w:rsidR="00AA264C" w:rsidRDefault="00AA264C">
      <w:pPr>
        <w:rPr>
          <w:sz w:val="20"/>
          <w:szCs w:val="20"/>
        </w:rPr>
      </w:pPr>
    </w:p>
    <w:p w14:paraId="6F0B05B7" w14:textId="77777777" w:rsidR="00AA264C" w:rsidRDefault="00AA264C">
      <w:pPr>
        <w:rPr>
          <w:sz w:val="20"/>
          <w:szCs w:val="20"/>
        </w:rPr>
      </w:pPr>
    </w:p>
    <w:p w14:paraId="14E738F7" w14:textId="77777777" w:rsidR="00AA264C" w:rsidRDefault="00AA264C">
      <w:pPr>
        <w:rPr>
          <w:sz w:val="20"/>
          <w:szCs w:val="20"/>
        </w:rPr>
      </w:pPr>
    </w:p>
    <w:p w14:paraId="05811C66" w14:textId="77777777" w:rsidR="00AA264C" w:rsidRDefault="00AA264C">
      <w:pPr>
        <w:rPr>
          <w:sz w:val="20"/>
          <w:szCs w:val="20"/>
        </w:rPr>
      </w:pPr>
    </w:p>
    <w:p w14:paraId="452B1F2A" w14:textId="77777777" w:rsidR="00AA264C" w:rsidRDefault="00AA264C">
      <w:pPr>
        <w:rPr>
          <w:sz w:val="20"/>
          <w:szCs w:val="20"/>
        </w:rPr>
      </w:pPr>
    </w:p>
    <w:p w14:paraId="024DCD3B" w14:textId="0691696E" w:rsidR="00AA264C" w:rsidRPr="00AA264C" w:rsidRDefault="00AA264C">
      <w:pPr>
        <w:rPr>
          <w:sz w:val="16"/>
          <w:szCs w:val="16"/>
        </w:rPr>
      </w:pPr>
      <w:r w:rsidRPr="00AA264C">
        <w:rPr>
          <w:sz w:val="16"/>
          <w:szCs w:val="16"/>
        </w:rPr>
        <w:t>CENP Referendum Area boundaries</w:t>
      </w:r>
      <w:r>
        <w:rPr>
          <w:sz w:val="16"/>
          <w:szCs w:val="16"/>
        </w:rPr>
        <w:br/>
        <w:t>25 Nov 16</w:t>
      </w:r>
      <w:bookmarkStart w:id="0" w:name="_GoBack"/>
      <w:bookmarkEnd w:id="0"/>
    </w:p>
    <w:p w14:paraId="0EBA1353" w14:textId="77777777" w:rsidR="00AA264C" w:rsidRDefault="00AA264C">
      <w:pPr>
        <w:rPr>
          <w:sz w:val="20"/>
          <w:szCs w:val="20"/>
        </w:rPr>
      </w:pPr>
    </w:p>
    <w:p w14:paraId="087B167E" w14:textId="22CABC29" w:rsidR="003673ED" w:rsidRPr="006E66AD" w:rsidRDefault="005904DD">
      <w:pPr>
        <w:rPr>
          <w:b/>
        </w:rPr>
      </w:pPr>
      <w:r>
        <w:br w:type="page"/>
      </w:r>
      <w:r w:rsidR="00E72A46" w:rsidRPr="006E66AD">
        <w:rPr>
          <w:b/>
        </w:rPr>
        <w:t>Appendix A</w:t>
      </w:r>
    </w:p>
    <w:p w14:paraId="66EE6102" w14:textId="2D23E896" w:rsidR="00092486" w:rsidRDefault="00092486" w:rsidP="00092486">
      <w:r>
        <w:t xml:space="preserve">Schedule 4B to the Town and Country Planning Act 1990 (as inserted by Schedule 9 of the Localism Act 2011) provides </w:t>
      </w:r>
      <w:r>
        <w:rPr>
          <w:i/>
        </w:rPr>
        <w:t xml:space="preserve">inter alia </w:t>
      </w:r>
      <w:r>
        <w:t>that:</w:t>
      </w:r>
    </w:p>
    <w:p w14:paraId="77B0EBCC" w14:textId="3884C88A" w:rsidR="00350A02" w:rsidRDefault="00092486" w:rsidP="00092486">
      <w:r>
        <w:t xml:space="preserve">8(1) The examiner must consider …………… </w:t>
      </w:r>
      <w:r>
        <w:br/>
        <w:t>(d) whether the area for any referendum should extend beyond the neighbourhood area to which the draft order relates…..</w:t>
      </w:r>
    </w:p>
    <w:p w14:paraId="79B735DD" w14:textId="77777777" w:rsidR="001159D0" w:rsidRDefault="002431D6" w:rsidP="001159D0">
      <w:r>
        <w:t>10</w:t>
      </w:r>
      <w:r w:rsidR="00350A02">
        <w:t>(</w:t>
      </w:r>
      <w:r w:rsidR="00350A02" w:rsidRPr="00350A02">
        <w:t>5)</w:t>
      </w:r>
      <w:r w:rsidR="00350A02">
        <w:t xml:space="preserve"> </w:t>
      </w:r>
      <w:r w:rsidR="00350A02" w:rsidRPr="00350A02">
        <w:t>If the report recommends that an order (with or without modifications) is submitted to a referendum, the report must also make—</w:t>
      </w:r>
      <w:r w:rsidR="00350A02">
        <w:br/>
        <w:t>(a) a recommendation as to whether the area for the referendum should extend beyond the neighbourhood area to which the order relates, and</w:t>
      </w:r>
      <w:r w:rsidR="00350A02">
        <w:br/>
        <w:t>(b) if a recommendation is made for an extended area, a recommendation as to what the extended area should be.</w:t>
      </w:r>
      <w:r w:rsidR="001159D0" w:rsidRPr="001159D0">
        <w:t xml:space="preserve"> </w:t>
      </w:r>
    </w:p>
    <w:p w14:paraId="018C7030" w14:textId="049A6543" w:rsidR="001159D0" w:rsidRPr="001159D0" w:rsidRDefault="001159D0" w:rsidP="001159D0">
      <w:pPr>
        <w:rPr>
          <w:i/>
        </w:rPr>
      </w:pPr>
      <w:r w:rsidRPr="001159D0">
        <w:rPr>
          <w:i/>
        </w:rPr>
        <w:t>Consideration by authority of recommendations made by examiner etc</w:t>
      </w:r>
    </w:p>
    <w:p w14:paraId="5E4558B4" w14:textId="26562968" w:rsidR="00350A02" w:rsidRDefault="001159D0" w:rsidP="001159D0">
      <w:r>
        <w:t xml:space="preserve">12(1) This paragraph applies if an examiner has made a report under paragraph 10. </w:t>
      </w:r>
      <w:r>
        <w:br/>
        <w:t xml:space="preserve">(2)The local planning authority must— </w:t>
      </w:r>
      <w:r>
        <w:br/>
        <w:t xml:space="preserve">(a) consider each of the recommendations made by the report (and the reasons for them), and </w:t>
      </w:r>
      <w:r>
        <w:br/>
        <w:t>(b) decide what action to take in response to each recommendation</w:t>
      </w:r>
      <w:r w:rsidR="00675949">
        <w:t>.</w:t>
      </w:r>
      <w:r>
        <w:br/>
      </w:r>
      <w:r w:rsidR="00675949">
        <w:t>……………</w:t>
      </w:r>
      <w:r w:rsidR="00675949">
        <w:br/>
      </w:r>
      <w:r>
        <w:t>(8) If the authority consider it appropriate to do so, they may extend the area in which the referendum is (or referendums are) to take place to include other areas (whether or not those areas fall wholly or partly outside the authority’s area).</w:t>
      </w:r>
      <w:r>
        <w:br/>
        <w:t>(9)If the authority decide to extend the area in which the referendum is (or referendums are) to take place, they must publish a map of that area.</w:t>
      </w:r>
    </w:p>
    <w:p w14:paraId="6A4493D5" w14:textId="77777777" w:rsidR="004170E9" w:rsidRDefault="004170E9" w:rsidP="00B55F00"/>
    <w:p w14:paraId="6FEFA132" w14:textId="63E85547" w:rsidR="00B55F00" w:rsidRDefault="00CE1E0E" w:rsidP="00B55F00">
      <w:r>
        <w:t>There are no further Reg</w:t>
      </w:r>
      <w:r w:rsidR="004170E9">
        <w:t>ulation</w:t>
      </w:r>
      <w:r>
        <w:t>s which guide the Examiner</w:t>
      </w:r>
    </w:p>
    <w:p w14:paraId="66C1E839" w14:textId="77777777" w:rsidR="00B55F00" w:rsidRDefault="00B55F00">
      <w:r>
        <w:br w:type="page"/>
      </w:r>
    </w:p>
    <w:p w14:paraId="624F446A" w14:textId="65013F45" w:rsidR="00B55F00" w:rsidRPr="006E66AD" w:rsidRDefault="00B55F00" w:rsidP="00B55F00">
      <w:pPr>
        <w:rPr>
          <w:b/>
        </w:rPr>
      </w:pPr>
      <w:r w:rsidRPr="006E66AD">
        <w:rPr>
          <w:b/>
        </w:rPr>
        <w:t>A</w:t>
      </w:r>
      <w:r w:rsidR="00E72A46" w:rsidRPr="006E66AD">
        <w:rPr>
          <w:b/>
        </w:rPr>
        <w:t>ppendix B</w:t>
      </w:r>
    </w:p>
    <w:p w14:paraId="16007D2A" w14:textId="7CC69B66" w:rsidR="00B55F00" w:rsidRDefault="00B55F00" w:rsidP="00B55F00">
      <w:r>
        <w:t xml:space="preserve">Report </w:t>
      </w:r>
      <w:r w:rsidR="004170E9">
        <w:t xml:space="preserve">of the Examiner </w:t>
      </w:r>
      <w:r>
        <w:t>to Central Milton Keynes Town Council of the Examination into the Central Milton Keyn</w:t>
      </w:r>
      <w:r w:rsidR="000F7BA7">
        <w:t xml:space="preserve">es Alliance Neighbourhood Plan </w:t>
      </w:r>
      <w:r w:rsidR="00E72A46">
        <w:t>(e</w:t>
      </w:r>
      <w:r w:rsidR="00E72A46" w:rsidRPr="0036059C">
        <w:rPr>
          <w:i/>
        </w:rPr>
        <w:t>xtract</w:t>
      </w:r>
      <w:r w:rsidR="00E72A46">
        <w:rPr>
          <w:i/>
        </w:rPr>
        <w:t>).</w:t>
      </w:r>
    </w:p>
    <w:p w14:paraId="2BCE61E4" w14:textId="77777777" w:rsidR="00B55F00" w:rsidRDefault="00B55F00" w:rsidP="00B55F00">
      <w:r>
        <w:t xml:space="preserve">14.4 Referendum Area </w:t>
      </w:r>
    </w:p>
    <w:p w14:paraId="278E330F" w14:textId="0047488B" w:rsidR="00B55F00" w:rsidRDefault="00B55F00" w:rsidP="00B55F00">
      <w:r>
        <w:t xml:space="preserve">14.5 It is the independent examiner’s role to consider the referendum area appropriate in the event that the Qualifying Body wishes to proceed to the referendum stage. As the CMKAP is a Business Neighbourhood Plan, two referendums will be required; one comprising those persons with a vote in local elections and with a qualifying address is in the referendum area, the other a business based referendum in which those entitled to vote are non-domestic ratepayers in the referendum area. The provisions of the Neighbourhood Planning (Referendums) (Amendment) Regulations 2013, which came into force on 6th April 2013 set out the process and procedure. The referendum areas are to be identical and must as a minimum comprise the neighbourhood plan area. </w:t>
      </w:r>
    </w:p>
    <w:p w14:paraId="15498804" w14:textId="77777777" w:rsidR="00B55F00" w:rsidRDefault="00B55F00" w:rsidP="00B55F00">
      <w:r>
        <w:t xml:space="preserve">14.6 In the case of the representations made during the consultation period, all of the respondents who commented on the matter of referendums in the event that the Plan went forward to the referendum stage, sought that the area of the referendum should extend to the Milton Keynes Borough Council administrative area. This is an entirely reasonable expectation as the CMK retail, leisure and employment uses benefit not only the small current resident population of about 3,000, based within the neighbourhood plan area, but the 250,000 individuals, or thereabouts comprising the resident population of the Borough. Borough-wide referendums, should these endorse the Plan, will increase the legitimacy of the Plan and on the basis that support is given, such endorsement should encourage greater community cohesiveness and a shared ambition to secure and deliver the objectives of the Plan. </w:t>
      </w:r>
    </w:p>
    <w:p w14:paraId="40F3B275" w14:textId="77777777" w:rsidR="00B55F00" w:rsidRDefault="00B55F00" w:rsidP="00B55F00">
      <w:r>
        <w:t xml:space="preserve">14.7 The consultation responses referred to the democratic need to consult widely on the Plan which will shape the future character of Central Milton Keynes. A keen sense of ownership of CMK was expressed by a number of respondents. </w:t>
      </w:r>
    </w:p>
    <w:p w14:paraId="60120466" w14:textId="77777777" w:rsidR="00B55F00" w:rsidRDefault="00B55F00" w:rsidP="00B55F00">
      <w:r>
        <w:t xml:space="preserve">14.8 To the extent that the residential and business referendum areas must be identical to comply with the regulations. As I consider that it is appropriate for the residential referendum to be Borough-wide, for sound reasons of democracy and equity, it follows that this geographic area must apply to the business referendum. There is no opportunity for the examiner to specify different referendum areas under the regulations. </w:t>
      </w:r>
    </w:p>
    <w:p w14:paraId="1FE241CC" w14:textId="2E3FAB5A" w:rsidR="00973986" w:rsidRDefault="00B55F00" w:rsidP="00B55F00">
      <w:r>
        <w:t>14.9 I therefore recommend that if referendums are to be held, that the geographic extent of each should extend to the administrative boundary of Milton Keynes Council.</w:t>
      </w:r>
      <w:r w:rsidR="00973986">
        <w:t xml:space="preserve"> </w:t>
      </w:r>
    </w:p>
    <w:p w14:paraId="2ED1C9D2" w14:textId="77777777" w:rsidR="006D06C7" w:rsidRDefault="006D06C7" w:rsidP="00B55F00"/>
    <w:sectPr w:rsidR="006D06C7">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D2882F" w14:textId="77777777" w:rsidR="00105D9D" w:rsidRDefault="00105D9D" w:rsidP="00A74F6D">
      <w:pPr>
        <w:spacing w:after="0" w:line="240" w:lineRule="auto"/>
      </w:pPr>
      <w:r>
        <w:separator/>
      </w:r>
    </w:p>
  </w:endnote>
  <w:endnote w:type="continuationSeparator" w:id="0">
    <w:p w14:paraId="30CADE17" w14:textId="77777777" w:rsidR="00105D9D" w:rsidRDefault="00105D9D" w:rsidP="00A74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1830218"/>
      <w:docPartObj>
        <w:docPartGallery w:val="Page Numbers (Bottom of Page)"/>
        <w:docPartUnique/>
      </w:docPartObj>
    </w:sdtPr>
    <w:sdtEndPr>
      <w:rPr>
        <w:noProof/>
      </w:rPr>
    </w:sdtEndPr>
    <w:sdtContent>
      <w:p w14:paraId="4A4B2D24" w14:textId="0C8C17D5" w:rsidR="006D06C7" w:rsidRDefault="006D06C7">
        <w:pPr>
          <w:pStyle w:val="Footer"/>
          <w:jc w:val="center"/>
        </w:pPr>
        <w:r>
          <w:fldChar w:fldCharType="begin"/>
        </w:r>
        <w:r>
          <w:instrText xml:space="preserve"> PAGE   \* MERGEFORMAT </w:instrText>
        </w:r>
        <w:r>
          <w:fldChar w:fldCharType="separate"/>
        </w:r>
        <w:r w:rsidR="00105D9D">
          <w:rPr>
            <w:noProof/>
          </w:rPr>
          <w:t>1</w:t>
        </w:r>
        <w:r>
          <w:rPr>
            <w:noProof/>
          </w:rPr>
          <w:fldChar w:fldCharType="end"/>
        </w:r>
      </w:p>
    </w:sdtContent>
  </w:sdt>
  <w:p w14:paraId="244D3561" w14:textId="77777777" w:rsidR="006D06C7" w:rsidRDefault="006D06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2A9189" w14:textId="77777777" w:rsidR="00105D9D" w:rsidRDefault="00105D9D" w:rsidP="00A74F6D">
      <w:pPr>
        <w:spacing w:after="0" w:line="240" w:lineRule="auto"/>
      </w:pPr>
      <w:r>
        <w:separator/>
      </w:r>
    </w:p>
  </w:footnote>
  <w:footnote w:type="continuationSeparator" w:id="0">
    <w:p w14:paraId="58048351" w14:textId="77777777" w:rsidR="00105D9D" w:rsidRDefault="00105D9D" w:rsidP="00A74F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556FE5"/>
    <w:multiLevelType w:val="hybridMultilevel"/>
    <w:tmpl w:val="E75C51B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A6964F1"/>
    <w:multiLevelType w:val="hybridMultilevel"/>
    <w:tmpl w:val="A1408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F4556F5"/>
    <w:multiLevelType w:val="hybridMultilevel"/>
    <w:tmpl w:val="6DAC0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F652848"/>
    <w:multiLevelType w:val="hybridMultilevel"/>
    <w:tmpl w:val="346A3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9"/>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986"/>
    <w:rsid w:val="00015C92"/>
    <w:rsid w:val="000274EE"/>
    <w:rsid w:val="000426AE"/>
    <w:rsid w:val="00074101"/>
    <w:rsid w:val="00092486"/>
    <w:rsid w:val="000A549B"/>
    <w:rsid w:val="000D1206"/>
    <w:rsid w:val="000E0044"/>
    <w:rsid w:val="000F7BA7"/>
    <w:rsid w:val="00105D9D"/>
    <w:rsid w:val="001159D0"/>
    <w:rsid w:val="00182EE1"/>
    <w:rsid w:val="002431D6"/>
    <w:rsid w:val="00257DE6"/>
    <w:rsid w:val="00282CC2"/>
    <w:rsid w:val="00310287"/>
    <w:rsid w:val="003317F9"/>
    <w:rsid w:val="00350A02"/>
    <w:rsid w:val="0036059C"/>
    <w:rsid w:val="003673ED"/>
    <w:rsid w:val="00373E59"/>
    <w:rsid w:val="003D0180"/>
    <w:rsid w:val="004170E9"/>
    <w:rsid w:val="00424EB2"/>
    <w:rsid w:val="004B1F43"/>
    <w:rsid w:val="004B4E12"/>
    <w:rsid w:val="004F7F04"/>
    <w:rsid w:val="00510C5A"/>
    <w:rsid w:val="00523BB5"/>
    <w:rsid w:val="0053218F"/>
    <w:rsid w:val="00570CA4"/>
    <w:rsid w:val="005904DD"/>
    <w:rsid w:val="00594270"/>
    <w:rsid w:val="005B76E2"/>
    <w:rsid w:val="005C06E5"/>
    <w:rsid w:val="005C3E90"/>
    <w:rsid w:val="005E332B"/>
    <w:rsid w:val="006126DC"/>
    <w:rsid w:val="00675949"/>
    <w:rsid w:val="006802D1"/>
    <w:rsid w:val="006D06C7"/>
    <w:rsid w:val="006D20EF"/>
    <w:rsid w:val="006D2420"/>
    <w:rsid w:val="006E27F5"/>
    <w:rsid w:val="006E66AD"/>
    <w:rsid w:val="006E7C0E"/>
    <w:rsid w:val="00711789"/>
    <w:rsid w:val="00722FA8"/>
    <w:rsid w:val="00724AE0"/>
    <w:rsid w:val="00731F9D"/>
    <w:rsid w:val="00756111"/>
    <w:rsid w:val="00795E27"/>
    <w:rsid w:val="007B2D6F"/>
    <w:rsid w:val="007E2A8F"/>
    <w:rsid w:val="00833A66"/>
    <w:rsid w:val="00862FD4"/>
    <w:rsid w:val="008C1466"/>
    <w:rsid w:val="008E6C0E"/>
    <w:rsid w:val="00973986"/>
    <w:rsid w:val="009D5C8C"/>
    <w:rsid w:val="009E36AA"/>
    <w:rsid w:val="009F3861"/>
    <w:rsid w:val="00A114DB"/>
    <w:rsid w:val="00A254BE"/>
    <w:rsid w:val="00A43B42"/>
    <w:rsid w:val="00A5590A"/>
    <w:rsid w:val="00A67E4F"/>
    <w:rsid w:val="00A74F6D"/>
    <w:rsid w:val="00A944DB"/>
    <w:rsid w:val="00AA264C"/>
    <w:rsid w:val="00AC47E5"/>
    <w:rsid w:val="00AC7CAF"/>
    <w:rsid w:val="00B35ACC"/>
    <w:rsid w:val="00B50599"/>
    <w:rsid w:val="00B55F00"/>
    <w:rsid w:val="00C21987"/>
    <w:rsid w:val="00C26757"/>
    <w:rsid w:val="00C54F2E"/>
    <w:rsid w:val="00C56347"/>
    <w:rsid w:val="00C57FB9"/>
    <w:rsid w:val="00C96F4C"/>
    <w:rsid w:val="00CA3D9E"/>
    <w:rsid w:val="00CD2A0C"/>
    <w:rsid w:val="00CE1E0E"/>
    <w:rsid w:val="00D1300F"/>
    <w:rsid w:val="00D13C79"/>
    <w:rsid w:val="00D54CB7"/>
    <w:rsid w:val="00D6743F"/>
    <w:rsid w:val="00DD3D61"/>
    <w:rsid w:val="00DD75FB"/>
    <w:rsid w:val="00E00E74"/>
    <w:rsid w:val="00E057FE"/>
    <w:rsid w:val="00E11BE7"/>
    <w:rsid w:val="00E41BFD"/>
    <w:rsid w:val="00E46B5F"/>
    <w:rsid w:val="00E54C50"/>
    <w:rsid w:val="00E72A46"/>
    <w:rsid w:val="00E85B5F"/>
    <w:rsid w:val="00E97614"/>
    <w:rsid w:val="00ED3AF3"/>
    <w:rsid w:val="00ED4A65"/>
    <w:rsid w:val="00EF4BA0"/>
    <w:rsid w:val="00F152E9"/>
    <w:rsid w:val="00F3303F"/>
    <w:rsid w:val="00F358EA"/>
    <w:rsid w:val="00F55743"/>
    <w:rsid w:val="00FA7704"/>
    <w:rsid w:val="00FB41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4617D"/>
  <w15:chartTrackingRefBased/>
  <w15:docId w15:val="{3D4827C0-9A19-423C-9BF9-140E0140E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B35AC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73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clearfix">
    <w:name w:val="legclearfix"/>
    <w:basedOn w:val="Normal"/>
    <w:rsid w:val="00CE1E0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basedOn w:val="DefaultParagraphFont"/>
    <w:rsid w:val="00CE1E0E"/>
  </w:style>
  <w:style w:type="character" w:customStyle="1" w:styleId="legamendingtext">
    <w:name w:val="legamendingtext"/>
    <w:basedOn w:val="DefaultParagraphFont"/>
    <w:rsid w:val="00CE1E0E"/>
  </w:style>
  <w:style w:type="character" w:customStyle="1" w:styleId="apple-converted-space">
    <w:name w:val="apple-converted-space"/>
    <w:basedOn w:val="DefaultParagraphFont"/>
    <w:rsid w:val="00CE1E0E"/>
  </w:style>
  <w:style w:type="paragraph" w:styleId="ListParagraph">
    <w:name w:val="List Paragraph"/>
    <w:basedOn w:val="Normal"/>
    <w:uiPriority w:val="34"/>
    <w:qFormat/>
    <w:rsid w:val="003D0180"/>
    <w:pPr>
      <w:ind w:left="720"/>
      <w:contextualSpacing/>
    </w:pPr>
  </w:style>
  <w:style w:type="paragraph" w:styleId="FootnoteText">
    <w:name w:val="footnote text"/>
    <w:basedOn w:val="Normal"/>
    <w:link w:val="FootnoteTextChar"/>
    <w:uiPriority w:val="99"/>
    <w:semiHidden/>
    <w:unhideWhenUsed/>
    <w:rsid w:val="00A74F6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74F6D"/>
    <w:rPr>
      <w:sz w:val="20"/>
      <w:szCs w:val="20"/>
    </w:rPr>
  </w:style>
  <w:style w:type="character" w:styleId="FootnoteReference">
    <w:name w:val="footnote reference"/>
    <w:basedOn w:val="DefaultParagraphFont"/>
    <w:uiPriority w:val="99"/>
    <w:semiHidden/>
    <w:unhideWhenUsed/>
    <w:rsid w:val="00A74F6D"/>
    <w:rPr>
      <w:vertAlign w:val="superscript"/>
    </w:rPr>
  </w:style>
  <w:style w:type="paragraph" w:styleId="BalloonText">
    <w:name w:val="Balloon Text"/>
    <w:basedOn w:val="Normal"/>
    <w:link w:val="BalloonTextChar"/>
    <w:uiPriority w:val="99"/>
    <w:semiHidden/>
    <w:unhideWhenUsed/>
    <w:rsid w:val="006802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2D1"/>
    <w:rPr>
      <w:rFonts w:ascii="Segoe UI" w:hAnsi="Segoe UI" w:cs="Segoe UI"/>
      <w:sz w:val="18"/>
      <w:szCs w:val="18"/>
    </w:rPr>
  </w:style>
  <w:style w:type="character" w:customStyle="1" w:styleId="Heading2Char">
    <w:name w:val="Heading 2 Char"/>
    <w:basedOn w:val="DefaultParagraphFont"/>
    <w:link w:val="Heading2"/>
    <w:uiPriority w:val="9"/>
    <w:rsid w:val="00B35ACC"/>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6D06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06C7"/>
  </w:style>
  <w:style w:type="paragraph" w:styleId="Footer">
    <w:name w:val="footer"/>
    <w:basedOn w:val="Normal"/>
    <w:link w:val="FooterChar"/>
    <w:uiPriority w:val="99"/>
    <w:unhideWhenUsed/>
    <w:rsid w:val="006D06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06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4840605">
      <w:bodyDiv w:val="1"/>
      <w:marLeft w:val="0"/>
      <w:marRight w:val="0"/>
      <w:marTop w:val="0"/>
      <w:marBottom w:val="0"/>
      <w:divBdr>
        <w:top w:val="none" w:sz="0" w:space="0" w:color="auto"/>
        <w:left w:val="none" w:sz="0" w:space="0" w:color="auto"/>
        <w:bottom w:val="none" w:sz="0" w:space="0" w:color="auto"/>
        <w:right w:val="none" w:sz="0" w:space="0" w:color="auto"/>
      </w:divBdr>
    </w:div>
    <w:div w:id="1732381138">
      <w:bodyDiv w:val="1"/>
      <w:marLeft w:val="0"/>
      <w:marRight w:val="0"/>
      <w:marTop w:val="0"/>
      <w:marBottom w:val="0"/>
      <w:divBdr>
        <w:top w:val="none" w:sz="0" w:space="0" w:color="auto"/>
        <w:left w:val="none" w:sz="0" w:space="0" w:color="auto"/>
        <w:bottom w:val="none" w:sz="0" w:space="0" w:color="auto"/>
        <w:right w:val="none" w:sz="0" w:space="0" w:color="auto"/>
      </w:divBdr>
    </w:div>
    <w:div w:id="189893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156C36-F859-4400-9077-F296E45EF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1436</TotalTime>
  <Pages>7</Pages>
  <Words>2311</Words>
  <Characters>13176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Miller</dc:creator>
  <cp:keywords/>
  <dc:description/>
  <cp:lastModifiedBy>Anthony Miller</cp:lastModifiedBy>
  <cp:revision>13</cp:revision>
  <cp:lastPrinted>2016-10-28T10:51:00Z</cp:lastPrinted>
  <dcterms:created xsi:type="dcterms:W3CDTF">2016-10-25T15:01:00Z</dcterms:created>
  <dcterms:modified xsi:type="dcterms:W3CDTF">2016-11-26T12:56:00Z</dcterms:modified>
</cp:coreProperties>
</file>